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安阳幼儿师范高等专科学校</w:t>
      </w:r>
    </w:p>
    <w:p>
      <w:pPr>
        <w:widowControl/>
        <w:spacing w:line="540" w:lineRule="exact"/>
        <w:jc w:val="center"/>
        <w:rPr>
          <w:rFonts w:ascii="方正小标宋简体" w:hAnsi="方正小标宋简体" w:eastAsia="方正小标宋简体" w:cs="方正小标宋简体"/>
          <w:bCs/>
          <w:color w:val="000000"/>
          <w:kern w:val="0"/>
          <w:sz w:val="36"/>
          <w:szCs w:val="36"/>
        </w:rPr>
      </w:pPr>
      <w:bookmarkStart w:id="0" w:name="_GoBack"/>
      <w:r>
        <w:rPr>
          <w:rFonts w:hint="eastAsia" w:ascii="方正小标宋简体" w:hAnsi="方正小标宋简体" w:eastAsia="方正小标宋简体" w:cs="方正小标宋简体"/>
          <w:bCs/>
          <w:color w:val="000000"/>
          <w:kern w:val="0"/>
          <w:sz w:val="36"/>
          <w:szCs w:val="36"/>
        </w:rPr>
        <w:t>创新创业学分认定管理办法（试行）</w:t>
      </w:r>
      <w:bookmarkEnd w:id="0"/>
    </w:p>
    <w:p>
      <w:pPr>
        <w:spacing w:before="312" w:beforeLines="100" w:after="312" w:afterLines="100" w:line="460" w:lineRule="exact"/>
        <w:jc w:val="center"/>
        <w:rPr>
          <w:rFonts w:ascii="仿宋_GB2312" w:hAnsi="仿宋_GB2312" w:eastAsia="仿宋_GB2312" w:cs="仿宋_GB2312"/>
          <w:b/>
          <w:bCs/>
          <w:color w:val="FF0000"/>
          <w:sz w:val="28"/>
          <w:szCs w:val="28"/>
        </w:rPr>
      </w:pPr>
      <w:r>
        <w:rPr>
          <w:rFonts w:hint="eastAsia" w:ascii="仿宋_GB2312" w:hAnsi="仿宋_GB2312" w:eastAsia="仿宋_GB2312" w:cs="仿宋_GB2312"/>
          <w:sz w:val="28"/>
          <w:szCs w:val="28"/>
        </w:rPr>
        <w:t>(安幼校</w:t>
      </w:r>
      <w:r>
        <w:rPr>
          <w:rFonts w:hint="eastAsia" w:ascii="仿宋_GB2312" w:hAnsi="仿宋_GB2312" w:eastAsia="仿宋_GB2312" w:cs="仿宋_GB2312"/>
          <w:bCs/>
          <w:kern w:val="36"/>
          <w:sz w:val="28"/>
          <w:szCs w:val="28"/>
        </w:rPr>
        <w:t>〔</w:t>
      </w:r>
      <w:r>
        <w:rPr>
          <w:rFonts w:hint="eastAsia" w:ascii="仿宋_GB2312" w:hAnsi="仿宋_GB2312" w:eastAsia="仿宋_GB2312" w:cs="仿宋_GB2312"/>
          <w:sz w:val="28"/>
          <w:szCs w:val="28"/>
        </w:rPr>
        <w:t>2019</w:t>
      </w:r>
      <w:r>
        <w:rPr>
          <w:rFonts w:hint="eastAsia" w:ascii="仿宋_GB2312" w:hAnsi="仿宋_GB2312" w:eastAsia="仿宋_GB2312" w:cs="仿宋_GB2312"/>
          <w:bCs/>
          <w:kern w:val="36"/>
          <w:sz w:val="28"/>
          <w:szCs w:val="28"/>
        </w:rPr>
        <w:t>〕</w:t>
      </w:r>
      <w:r>
        <w:rPr>
          <w:rFonts w:hint="eastAsia" w:ascii="仿宋_GB2312" w:hAnsi="仿宋_GB2312" w:eastAsia="仿宋_GB2312" w:cs="仿宋_GB2312"/>
          <w:sz w:val="28"/>
          <w:szCs w:val="28"/>
        </w:rPr>
        <w:t>115号)</w:t>
      </w:r>
    </w:p>
    <w:p>
      <w:pPr>
        <w:widowControl/>
        <w:wordWrap w:val="0"/>
        <w:spacing w:before="156" w:beforeLines="50" w:after="156" w:afterLines="50" w:line="5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第一章</w:t>
      </w:r>
      <w:r>
        <w:rPr>
          <w:rFonts w:hint="eastAsia" w:ascii="宋体" w:hAnsi="宋体" w:eastAsia="宋体" w:cs="宋体"/>
          <w:color w:val="000000"/>
          <w:sz w:val="28"/>
          <w:szCs w:val="28"/>
        </w:rPr>
        <w:t> </w:t>
      </w:r>
      <w:r>
        <w:rPr>
          <w:rFonts w:hint="eastAsia" w:ascii="黑体" w:hAnsi="黑体" w:eastAsia="黑体" w:cs="黑体"/>
          <w:color w:val="000000"/>
          <w:sz w:val="28"/>
          <w:szCs w:val="28"/>
        </w:rPr>
        <w:t>总则</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第一条</w:t>
      </w:r>
      <w:r>
        <w:rPr>
          <w:rFonts w:hint="eastAsia" w:ascii="仿宋_GB2312" w:eastAsia="仿宋_GB2312"/>
          <w:color w:val="000000"/>
          <w:sz w:val="28"/>
          <w:szCs w:val="28"/>
        </w:rPr>
        <w:t xml:space="preserve">  为将大学生创新意识和创业能力培养落到实处，培养具有创新精神和实践能力的应用型、创新型人才，增强学生综合素质，促进学生个性发展，提高人才培养质量，特制定本办法。</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第二条</w:t>
      </w:r>
      <w:r>
        <w:rPr>
          <w:rFonts w:hint="eastAsia" w:ascii="仿宋_GB2312" w:eastAsia="仿宋_GB2312"/>
          <w:color w:val="000000"/>
          <w:sz w:val="28"/>
          <w:szCs w:val="28"/>
        </w:rPr>
        <w:t xml:space="preserve">  创新创业学分是安阳幼儿师范高等专科学校（以下简称安阳幼专）人才培养方案的重要组成部分，也是贯彻落实“第二课堂成绩单制度”，培养大学生综合素质的重要举措。凡就读于我校的普通全日制学生，在校期间必须修读创新创业学分满2学分，才能完成学业，获得毕业资格。</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 xml:space="preserve">第三条 </w:t>
      </w:r>
      <w:r>
        <w:rPr>
          <w:rFonts w:hint="eastAsia" w:ascii="仿宋_GB2312" w:eastAsia="仿宋_GB2312"/>
          <w:color w:val="000000"/>
          <w:sz w:val="28"/>
          <w:szCs w:val="28"/>
        </w:rPr>
        <w:t xml:space="preserve"> 创新创业学分管理由教务处负责统筹，各相关职能部门负责相关项目的组织发动及证书（证明材料）发放，学生所在系（部）负责收缴相关认定材料，完成学分认定，并录入教务网络管理系统。</w:t>
      </w:r>
    </w:p>
    <w:p>
      <w:pPr>
        <w:widowControl/>
        <w:wordWrap w:val="0"/>
        <w:spacing w:before="156" w:beforeLines="50" w:after="156" w:afterLines="50" w:line="5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第二章</w:t>
      </w:r>
      <w:r>
        <w:rPr>
          <w:rFonts w:hint="eastAsia" w:ascii="宋体" w:hAnsi="宋体" w:eastAsia="宋体" w:cs="宋体"/>
          <w:color w:val="000000"/>
          <w:sz w:val="28"/>
          <w:szCs w:val="28"/>
        </w:rPr>
        <w:t> </w:t>
      </w:r>
      <w:r>
        <w:rPr>
          <w:rFonts w:hint="eastAsia" w:ascii="黑体" w:hAnsi="黑体" w:eastAsia="黑体" w:cs="黑体"/>
          <w:color w:val="000000"/>
          <w:sz w:val="28"/>
          <w:szCs w:val="28"/>
        </w:rPr>
        <w:t xml:space="preserve"> 创新创业学分的认定范围及计分原则</w:t>
      </w:r>
    </w:p>
    <w:p>
      <w:pPr>
        <w:widowControl/>
        <w:wordWrap w:val="0"/>
        <w:spacing w:line="500" w:lineRule="exact"/>
        <w:jc w:val="left"/>
        <w:rPr>
          <w:rFonts w:ascii="仿宋_GB2312" w:eastAsia="仿宋_GB2312"/>
          <w:color w:val="000000"/>
          <w:sz w:val="28"/>
          <w:szCs w:val="28"/>
        </w:rPr>
      </w:pPr>
      <w:r>
        <w:rPr>
          <w:rFonts w:hint="eastAsia" w:ascii="仿宋_GB2312" w:eastAsia="仿宋_GB2312"/>
          <w:b/>
          <w:bCs/>
          <w:color w:val="000000"/>
          <w:sz w:val="28"/>
          <w:szCs w:val="28"/>
        </w:rPr>
        <w:t xml:space="preserve">    第四条</w:t>
      </w:r>
      <w:r>
        <w:rPr>
          <w:rFonts w:hint="eastAsia" w:ascii="仿宋_GB2312" w:eastAsia="仿宋_GB2312"/>
          <w:color w:val="000000"/>
          <w:sz w:val="28"/>
          <w:szCs w:val="28"/>
        </w:rPr>
        <w:t xml:space="preserve">  创新创业学分的认定范围包括：学科竞赛、科学研究、发明创造、自主创业、职业资格、科技文体竞赛、社会实践、社团活动共八项。</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1.学科竞赛：</w:t>
      </w:r>
      <w:r>
        <w:rPr>
          <w:rFonts w:hint="eastAsia" w:ascii="仿宋_GB2312" w:eastAsia="仿宋_GB2312"/>
          <w:color w:val="000000"/>
          <w:sz w:val="28"/>
          <w:szCs w:val="28"/>
        </w:rPr>
        <w:t>指由教育行政主管部门或专业学术团体或专业教学指导委员会组织主办的学科竞赛。统计范围包括：国家级、省部级、市级、校级和系（部）级技能大赛等。</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2.科学研究：</w:t>
      </w:r>
      <w:r>
        <w:rPr>
          <w:rFonts w:hint="eastAsia" w:ascii="仿宋_GB2312" w:eastAsia="仿宋_GB2312"/>
          <w:color w:val="000000"/>
          <w:sz w:val="28"/>
          <w:szCs w:val="28"/>
        </w:rPr>
        <w:t>指主持或参与学校发布的大学生创新训练项目、教育科研课题，在国内外正式刊物上发表的论文或艺术作品、重大活动上交流的论文。</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3.发明创造：</w:t>
      </w:r>
      <w:r>
        <w:rPr>
          <w:rFonts w:hint="eastAsia" w:ascii="仿宋_GB2312" w:eastAsia="仿宋_GB2312"/>
          <w:color w:val="000000"/>
          <w:sz w:val="28"/>
          <w:szCs w:val="28"/>
        </w:rPr>
        <w:t>指发明专利、实用新型专利、外观专利，成果推广应用等。</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4.自主创业：</w:t>
      </w:r>
      <w:r>
        <w:rPr>
          <w:rFonts w:hint="eastAsia" w:ascii="仿宋_GB2312" w:eastAsia="仿宋_GB2312"/>
          <w:color w:val="000000"/>
          <w:sz w:val="28"/>
          <w:szCs w:val="28"/>
        </w:rPr>
        <w:t>指参加大学生创业训练项目、创业实践项目、创业竞赛、模拟市场等。</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5.职业资格：</w:t>
      </w:r>
      <w:r>
        <w:rPr>
          <w:rFonts w:hint="eastAsia" w:ascii="仿宋_GB2312" w:eastAsia="仿宋_GB2312"/>
          <w:color w:val="000000"/>
          <w:sz w:val="28"/>
          <w:szCs w:val="28"/>
        </w:rPr>
        <w:t>指参加职业资格证书考试或职业技能等级考核所获得的各类职业资格证书或职业技能等级证书。</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6.科技文体竞赛：</w:t>
      </w:r>
      <w:r>
        <w:rPr>
          <w:rFonts w:hint="eastAsia" w:ascii="仿宋_GB2312" w:eastAsia="仿宋_GB2312"/>
          <w:color w:val="000000"/>
          <w:sz w:val="28"/>
          <w:szCs w:val="28"/>
        </w:rPr>
        <w:t>指参加科技、文化、艺术、体育、技能、公益类竞赛项目，包含行业、协会等单位组织的比赛。</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7.社会实践：</w:t>
      </w:r>
      <w:r>
        <w:rPr>
          <w:rFonts w:hint="eastAsia" w:ascii="仿宋_GB2312" w:eastAsia="仿宋_GB2312"/>
          <w:color w:val="000000"/>
          <w:sz w:val="28"/>
          <w:szCs w:val="28"/>
        </w:rPr>
        <w:t>指大学生假期社会实践（如“三下乡”活动、“返家乡”社会实践等）、青年志愿者活动（如义教、绿色环保宣传、社区服务等公益活动）和校园公益服务（特指学生干部）。</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8.社团活动：</w:t>
      </w:r>
      <w:r>
        <w:rPr>
          <w:rFonts w:hint="eastAsia" w:ascii="仿宋_GB2312" w:eastAsia="仿宋_GB2312"/>
          <w:color w:val="000000"/>
          <w:sz w:val="28"/>
          <w:szCs w:val="28"/>
        </w:rPr>
        <w:t>指学校专业训练团队和团委备案的学生社团开展的活动。</w:t>
      </w:r>
    </w:p>
    <w:p>
      <w:pPr>
        <w:widowControl/>
        <w:wordWrap w:val="0"/>
        <w:spacing w:line="500" w:lineRule="exact"/>
        <w:ind w:firstLine="562" w:firstLineChars="200"/>
        <w:jc w:val="left"/>
        <w:rPr>
          <w:rFonts w:ascii="黑体" w:hAnsi="黑体" w:eastAsia="黑体" w:cs="黑体"/>
          <w:b/>
          <w:bCs/>
          <w:color w:val="000000"/>
          <w:sz w:val="28"/>
          <w:szCs w:val="28"/>
        </w:rPr>
      </w:pPr>
      <w:r>
        <w:rPr>
          <w:rFonts w:hint="eastAsia" w:ascii="仿宋_GB2312" w:eastAsia="仿宋_GB2312"/>
          <w:b/>
          <w:bCs/>
          <w:color w:val="000000"/>
          <w:sz w:val="28"/>
          <w:szCs w:val="28"/>
        </w:rPr>
        <w:t>第五条</w:t>
      </w:r>
      <w:r>
        <w:rPr>
          <w:rFonts w:hint="eastAsia" w:ascii="仿宋_GB2312" w:eastAsia="仿宋_GB2312"/>
          <w:color w:val="000000"/>
          <w:sz w:val="28"/>
          <w:szCs w:val="28"/>
        </w:rPr>
        <w:t xml:space="preserve">  学生在校学习期间，同一学生、同一项目累加得分不得超过1学分（一次获得不受此限）；集体奖项与个人奖项有重复的，按最高奖项得分计算创新创业学分，不重复计算；同一项目跨学期再次获得更高档次奖励，以计算补差的方式记录学分。学生所有项目学分累加计算。创新创业学分获得途径及学分核定标准见附件。</w:t>
      </w:r>
    </w:p>
    <w:p>
      <w:pPr>
        <w:widowControl/>
        <w:wordWrap w:val="0"/>
        <w:spacing w:before="156" w:beforeLines="50" w:after="156" w:afterLines="50" w:line="5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第三章</w:t>
      </w:r>
      <w:r>
        <w:rPr>
          <w:rFonts w:hint="eastAsia" w:ascii="宋体" w:hAnsi="宋体" w:eastAsia="宋体" w:cs="宋体"/>
          <w:color w:val="000000"/>
          <w:sz w:val="28"/>
          <w:szCs w:val="28"/>
        </w:rPr>
        <w:t> </w:t>
      </w:r>
      <w:r>
        <w:rPr>
          <w:rFonts w:hint="eastAsia" w:ascii="黑体" w:hAnsi="黑体" w:eastAsia="黑体" w:cs="黑体"/>
          <w:color w:val="000000"/>
          <w:sz w:val="28"/>
          <w:szCs w:val="28"/>
        </w:rPr>
        <w:t xml:space="preserve"> 创新创业学分的认定程序</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第六条</w:t>
      </w:r>
      <w:r>
        <w:rPr>
          <w:rFonts w:hint="eastAsia" w:ascii="仿宋_GB2312" w:eastAsia="仿宋_GB2312"/>
          <w:color w:val="000000"/>
          <w:sz w:val="28"/>
          <w:szCs w:val="28"/>
        </w:rPr>
        <w:t xml:space="preserve">  创新创业学分由学生所在系（部）每学年统计一次，于第6学期按自然班出一份汇总成绩单，并录入教务网络管理系统。</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第七条</w:t>
      </w:r>
      <w:r>
        <w:rPr>
          <w:rFonts w:hint="eastAsia" w:ascii="仿宋_GB2312" w:eastAsia="仿宋_GB2312"/>
          <w:color w:val="000000"/>
          <w:sz w:val="28"/>
          <w:szCs w:val="28"/>
        </w:rPr>
        <w:t>   创新创业学分的认定由学生所在系（部）负责，由归口管理部门负责向学生提供认定材料。具体如下表：</w:t>
      </w:r>
    </w:p>
    <w:p>
      <w:pPr>
        <w:widowControl/>
        <w:wordWrap w:val="0"/>
        <w:spacing w:line="500" w:lineRule="exact"/>
        <w:ind w:firstLine="640" w:firstLineChars="200"/>
        <w:jc w:val="left"/>
        <w:rPr>
          <w:rFonts w:ascii="仿宋_GB2312" w:eastAsia="仿宋_GB2312"/>
          <w:color w:val="000000"/>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468"/>
        <w:gridCol w:w="1822"/>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center"/>
          </w:tcPr>
          <w:p>
            <w:pPr>
              <w:widowControl/>
              <w:spacing w:line="400" w:lineRule="atLeast"/>
              <w:jc w:val="center"/>
              <w:rPr>
                <w:rFonts w:ascii="黑体" w:hAnsi="黑体" w:eastAsia="黑体" w:cs="楷体"/>
                <w:color w:val="000000"/>
                <w:kern w:val="0"/>
                <w:sz w:val="24"/>
              </w:rPr>
            </w:pPr>
            <w:r>
              <w:rPr>
                <w:rFonts w:hint="eastAsia" w:ascii="黑体" w:hAnsi="黑体" w:eastAsia="黑体" w:cs="楷体"/>
                <w:bCs/>
                <w:color w:val="000000"/>
                <w:kern w:val="0"/>
                <w:sz w:val="24"/>
              </w:rPr>
              <w:t>序号</w:t>
            </w:r>
          </w:p>
        </w:tc>
        <w:tc>
          <w:tcPr>
            <w:tcW w:w="1468" w:type="dxa"/>
            <w:shd w:val="clear" w:color="auto" w:fill="auto"/>
            <w:vAlign w:val="center"/>
          </w:tcPr>
          <w:p>
            <w:pPr>
              <w:widowControl/>
              <w:spacing w:line="400" w:lineRule="atLeast"/>
              <w:jc w:val="center"/>
              <w:rPr>
                <w:rFonts w:ascii="黑体" w:hAnsi="黑体" w:eastAsia="黑体" w:cs="楷体"/>
                <w:color w:val="000000"/>
                <w:kern w:val="0"/>
                <w:sz w:val="24"/>
              </w:rPr>
            </w:pPr>
            <w:r>
              <w:rPr>
                <w:rFonts w:hint="eastAsia" w:ascii="黑体" w:hAnsi="黑体" w:eastAsia="黑体" w:cs="楷体"/>
                <w:bCs/>
                <w:color w:val="000000"/>
                <w:kern w:val="0"/>
                <w:sz w:val="24"/>
              </w:rPr>
              <w:t>项目名称</w:t>
            </w:r>
          </w:p>
        </w:tc>
        <w:tc>
          <w:tcPr>
            <w:tcW w:w="1822" w:type="dxa"/>
            <w:shd w:val="clear" w:color="auto" w:fill="auto"/>
            <w:vAlign w:val="center"/>
          </w:tcPr>
          <w:p>
            <w:pPr>
              <w:widowControl/>
              <w:spacing w:line="400" w:lineRule="atLeast"/>
              <w:jc w:val="center"/>
              <w:rPr>
                <w:rFonts w:ascii="黑体" w:hAnsi="黑体" w:eastAsia="黑体" w:cs="楷体"/>
                <w:bCs/>
                <w:color w:val="000000"/>
                <w:kern w:val="0"/>
                <w:sz w:val="24"/>
              </w:rPr>
            </w:pPr>
            <w:r>
              <w:rPr>
                <w:rFonts w:hint="eastAsia" w:ascii="黑体" w:hAnsi="黑体" w:eastAsia="黑体" w:cs="楷体"/>
                <w:bCs/>
                <w:color w:val="000000"/>
                <w:kern w:val="0"/>
                <w:sz w:val="24"/>
              </w:rPr>
              <w:t>项目管理</w:t>
            </w:r>
          </w:p>
          <w:p>
            <w:pPr>
              <w:widowControl/>
              <w:spacing w:line="400" w:lineRule="atLeast"/>
              <w:jc w:val="center"/>
              <w:rPr>
                <w:rFonts w:ascii="黑体" w:hAnsi="黑体" w:eastAsia="黑体" w:cs="楷体"/>
                <w:color w:val="000000"/>
                <w:kern w:val="0"/>
                <w:sz w:val="24"/>
              </w:rPr>
            </w:pPr>
            <w:r>
              <w:rPr>
                <w:rFonts w:hint="eastAsia" w:ascii="黑体" w:hAnsi="黑体" w:eastAsia="黑体" w:cs="楷体"/>
                <w:bCs/>
                <w:color w:val="000000"/>
                <w:kern w:val="0"/>
                <w:sz w:val="24"/>
              </w:rPr>
              <w:t>部门</w:t>
            </w:r>
          </w:p>
        </w:tc>
        <w:tc>
          <w:tcPr>
            <w:tcW w:w="4445" w:type="dxa"/>
            <w:shd w:val="clear" w:color="auto" w:fill="auto"/>
            <w:vAlign w:val="center"/>
          </w:tcPr>
          <w:p>
            <w:pPr>
              <w:widowControl/>
              <w:spacing w:line="400" w:lineRule="atLeast"/>
              <w:jc w:val="center"/>
              <w:rPr>
                <w:rFonts w:ascii="黑体" w:hAnsi="黑体" w:eastAsia="黑体" w:cs="楷体"/>
                <w:color w:val="000000"/>
                <w:kern w:val="0"/>
                <w:sz w:val="24"/>
              </w:rPr>
            </w:pPr>
            <w:r>
              <w:rPr>
                <w:rFonts w:hint="eastAsia" w:ascii="黑体" w:hAnsi="黑体" w:eastAsia="黑体" w:cs="楷体"/>
                <w:bCs/>
                <w:color w:val="000000"/>
                <w:kern w:val="0"/>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1468"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学科竞赛</w:t>
            </w:r>
          </w:p>
        </w:tc>
        <w:tc>
          <w:tcPr>
            <w:tcW w:w="1822"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教务处</w:t>
            </w:r>
          </w:p>
        </w:tc>
        <w:tc>
          <w:tcPr>
            <w:tcW w:w="4445" w:type="dxa"/>
            <w:shd w:val="clear" w:color="auto" w:fill="auto"/>
            <w:vAlign w:val="center"/>
          </w:tcPr>
          <w:p>
            <w:pPr>
              <w:widowControl/>
              <w:spacing w:line="400" w:lineRule="atLeas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获奖文件或学生奖状复印件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1468"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科学研究</w:t>
            </w:r>
          </w:p>
        </w:tc>
        <w:tc>
          <w:tcPr>
            <w:tcW w:w="1822"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科研处</w:t>
            </w:r>
          </w:p>
        </w:tc>
        <w:tc>
          <w:tcPr>
            <w:tcW w:w="4445" w:type="dxa"/>
            <w:shd w:val="clear" w:color="auto" w:fill="auto"/>
            <w:vAlign w:val="center"/>
          </w:tcPr>
          <w:p>
            <w:pPr>
              <w:widowControl/>
              <w:spacing w:line="400" w:lineRule="atLeas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创新训练项目结题资料、科研项目结题资料、公开发表论文或作品复印件等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3</w:t>
            </w:r>
          </w:p>
        </w:tc>
        <w:tc>
          <w:tcPr>
            <w:tcW w:w="1468"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发明创造</w:t>
            </w:r>
          </w:p>
        </w:tc>
        <w:tc>
          <w:tcPr>
            <w:tcW w:w="1822"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科研处</w:t>
            </w:r>
          </w:p>
        </w:tc>
        <w:tc>
          <w:tcPr>
            <w:tcW w:w="4445" w:type="dxa"/>
            <w:shd w:val="clear" w:color="auto" w:fill="auto"/>
            <w:vAlign w:val="center"/>
          </w:tcPr>
          <w:p>
            <w:pPr>
              <w:widowControl/>
              <w:spacing w:line="400" w:lineRule="atLeas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专利证书复印件、成果推广报告等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4</w:t>
            </w:r>
          </w:p>
        </w:tc>
        <w:tc>
          <w:tcPr>
            <w:tcW w:w="1468"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自主创业</w:t>
            </w:r>
          </w:p>
        </w:tc>
        <w:tc>
          <w:tcPr>
            <w:tcW w:w="1822"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招生就业处</w:t>
            </w:r>
          </w:p>
        </w:tc>
        <w:tc>
          <w:tcPr>
            <w:tcW w:w="4445" w:type="dxa"/>
            <w:shd w:val="clear" w:color="auto" w:fill="auto"/>
            <w:vAlign w:val="center"/>
          </w:tcPr>
          <w:p>
            <w:pPr>
              <w:widowControl/>
              <w:spacing w:line="400" w:lineRule="atLeas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创业训练项目结项资料、创业实践项目结项资料、创业竞赛获奖证书复印件、模拟市场竞标书等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5</w:t>
            </w:r>
          </w:p>
        </w:tc>
        <w:tc>
          <w:tcPr>
            <w:tcW w:w="1468"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职业资格</w:t>
            </w:r>
          </w:p>
        </w:tc>
        <w:tc>
          <w:tcPr>
            <w:tcW w:w="1822"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教务处</w:t>
            </w:r>
          </w:p>
        </w:tc>
        <w:tc>
          <w:tcPr>
            <w:tcW w:w="4445" w:type="dxa"/>
            <w:shd w:val="clear" w:color="auto" w:fill="auto"/>
            <w:vAlign w:val="center"/>
          </w:tcPr>
          <w:p>
            <w:pPr>
              <w:widowControl/>
              <w:spacing w:line="400" w:lineRule="atLeas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职业资格证书、职业技能等级证书复印件或相关证明材料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6</w:t>
            </w:r>
          </w:p>
        </w:tc>
        <w:tc>
          <w:tcPr>
            <w:tcW w:w="1468"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科技文体竞赛</w:t>
            </w:r>
          </w:p>
        </w:tc>
        <w:tc>
          <w:tcPr>
            <w:tcW w:w="1822"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学生处、团委、各系（部）</w:t>
            </w:r>
          </w:p>
        </w:tc>
        <w:tc>
          <w:tcPr>
            <w:tcW w:w="4445" w:type="dxa"/>
            <w:shd w:val="clear" w:color="auto" w:fill="auto"/>
            <w:vAlign w:val="center"/>
          </w:tcPr>
          <w:p>
            <w:pPr>
              <w:widowControl/>
              <w:spacing w:line="400" w:lineRule="atLeas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竞赛获奖文件或学生奖状复印件等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7</w:t>
            </w:r>
          </w:p>
        </w:tc>
        <w:tc>
          <w:tcPr>
            <w:tcW w:w="1468"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社会实践</w:t>
            </w:r>
          </w:p>
        </w:tc>
        <w:tc>
          <w:tcPr>
            <w:tcW w:w="1822"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团委</w:t>
            </w:r>
          </w:p>
        </w:tc>
        <w:tc>
          <w:tcPr>
            <w:tcW w:w="4445" w:type="dxa"/>
            <w:shd w:val="clear" w:color="auto" w:fill="auto"/>
            <w:vAlign w:val="center"/>
          </w:tcPr>
          <w:p>
            <w:pPr>
              <w:widowControl/>
              <w:spacing w:line="400" w:lineRule="atLeas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社会实践报告、获奖证书或相关证明资料等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8</w:t>
            </w:r>
          </w:p>
        </w:tc>
        <w:tc>
          <w:tcPr>
            <w:tcW w:w="1468"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社团活动</w:t>
            </w:r>
          </w:p>
        </w:tc>
        <w:tc>
          <w:tcPr>
            <w:tcW w:w="1822" w:type="dxa"/>
            <w:shd w:val="clear" w:color="auto" w:fill="auto"/>
            <w:vAlign w:val="center"/>
          </w:tcPr>
          <w:p>
            <w:pPr>
              <w:widowControl/>
              <w:spacing w:line="400" w:lineRule="atLeas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团委</w:t>
            </w:r>
          </w:p>
        </w:tc>
        <w:tc>
          <w:tcPr>
            <w:tcW w:w="4445" w:type="dxa"/>
            <w:shd w:val="clear" w:color="auto" w:fill="auto"/>
            <w:vAlign w:val="center"/>
          </w:tcPr>
          <w:p>
            <w:pPr>
              <w:widowControl/>
              <w:spacing w:line="400" w:lineRule="atLeas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社团联合会出具的相关证明材料</w:t>
            </w:r>
          </w:p>
        </w:tc>
      </w:tr>
    </w:tbl>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 xml:space="preserve">第八条  </w:t>
      </w:r>
      <w:r>
        <w:rPr>
          <w:rFonts w:hint="eastAsia" w:ascii="仿宋_GB2312" w:eastAsia="仿宋_GB2312"/>
          <w:color w:val="000000"/>
          <w:sz w:val="28"/>
          <w:szCs w:val="28"/>
        </w:rPr>
        <w:t xml:space="preserve">学分认定程序 </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1.项目发布</w:t>
      </w:r>
      <w:r>
        <w:rPr>
          <w:rFonts w:hint="eastAsia" w:ascii="仿宋_GB2312" w:eastAsia="仿宋_GB2312"/>
          <w:color w:val="000000"/>
          <w:sz w:val="28"/>
          <w:szCs w:val="28"/>
        </w:rPr>
        <w:t>：每学期第1-5周，项目管理部门发布创新创业学分项目名称及项目要求，各系（部）积极组织学生参加相关项目引导。</w:t>
      </w:r>
    </w:p>
    <w:p>
      <w:pPr>
        <w:widowControl/>
        <w:wordWrap w:val="0"/>
        <w:spacing w:line="500" w:lineRule="exact"/>
        <w:jc w:val="left"/>
        <w:rPr>
          <w:rFonts w:ascii="仿宋_GB2312" w:eastAsia="仿宋_GB2312"/>
          <w:color w:val="000000"/>
          <w:sz w:val="28"/>
          <w:szCs w:val="28"/>
        </w:rPr>
      </w:pPr>
      <w:r>
        <w:rPr>
          <w:rFonts w:hint="eastAsia" w:ascii="仿宋_GB2312" w:eastAsia="仿宋_GB2312"/>
          <w:b/>
          <w:bCs/>
          <w:color w:val="000000"/>
          <w:sz w:val="28"/>
          <w:szCs w:val="28"/>
        </w:rPr>
        <w:t xml:space="preserve">    2.学生申报</w:t>
      </w:r>
      <w:r>
        <w:rPr>
          <w:rFonts w:hint="eastAsia" w:ascii="仿宋_GB2312" w:eastAsia="仿宋_GB2312"/>
          <w:color w:val="000000"/>
          <w:sz w:val="28"/>
          <w:szCs w:val="28"/>
        </w:rPr>
        <w:t>：每学年第二学期期末，各系（部）统一组织学生进行创新创业学分申报，学生本人将个人创新创业学分申报信息报送至所属系（部）, 并根据要求准备证明材料原件和复印件待查。</w:t>
      </w:r>
    </w:p>
    <w:p>
      <w:pPr>
        <w:widowControl/>
        <w:wordWrap w:val="0"/>
        <w:spacing w:line="500" w:lineRule="exact"/>
        <w:jc w:val="left"/>
        <w:rPr>
          <w:rFonts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b/>
          <w:bCs/>
          <w:color w:val="000000"/>
          <w:sz w:val="28"/>
          <w:szCs w:val="28"/>
        </w:rPr>
        <w:t>  3.系（部）审核、认定</w:t>
      </w:r>
      <w:r>
        <w:rPr>
          <w:rFonts w:hint="eastAsia" w:ascii="仿宋_GB2312" w:eastAsia="仿宋_GB2312"/>
          <w:color w:val="000000"/>
          <w:sz w:val="28"/>
          <w:szCs w:val="28"/>
        </w:rPr>
        <w:t>：每学年第二学期期末，各系（部）依据《安阳幼儿师范高等专业学校创新创业学分获得途径及学分核定标准》组织人员对学生申报信息进行审核、认定。不符合项目认定标准的予以退回。对已通过学分认定的学生证明材料进行收集、整理、存档、备查。</w:t>
      </w:r>
    </w:p>
    <w:p>
      <w:pPr>
        <w:widowControl/>
        <w:wordWrap w:val="0"/>
        <w:spacing w:line="500" w:lineRule="exact"/>
        <w:jc w:val="left"/>
        <w:rPr>
          <w:rFonts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b/>
          <w:bCs/>
          <w:color w:val="000000"/>
          <w:sz w:val="28"/>
          <w:szCs w:val="28"/>
        </w:rPr>
        <w:t>4.学分公示、预警</w:t>
      </w:r>
      <w:r>
        <w:rPr>
          <w:rFonts w:hint="eastAsia" w:ascii="仿宋_GB2312" w:eastAsia="仿宋_GB2312"/>
          <w:color w:val="000000"/>
          <w:sz w:val="28"/>
          <w:szCs w:val="28"/>
        </w:rPr>
        <w:t>：每学期期末，由各系（部）负责汇总本系（部）各年级创新创业学分认定情况，以班级为单位进行公示，对学分有可能不达标的同学进行预警并通知到学生本人。</w:t>
      </w:r>
    </w:p>
    <w:p>
      <w:pPr>
        <w:widowControl/>
        <w:wordWrap w:val="0"/>
        <w:spacing w:line="500" w:lineRule="exact"/>
        <w:jc w:val="left"/>
        <w:rPr>
          <w:rFonts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b/>
          <w:bCs/>
          <w:color w:val="000000"/>
          <w:sz w:val="28"/>
          <w:szCs w:val="28"/>
        </w:rPr>
        <w:t>  5.成绩上报</w:t>
      </w:r>
      <w:r>
        <w:rPr>
          <w:rFonts w:hint="eastAsia" w:ascii="仿宋_GB2312" w:eastAsia="仿宋_GB2312"/>
          <w:color w:val="000000"/>
          <w:sz w:val="28"/>
          <w:szCs w:val="28"/>
        </w:rPr>
        <w:t>：第6学期由各系（部）汇总学生创新创业学分认定情况，并由学生签名确认后，由各系（部）负责录入教务网络管理系统。</w:t>
      </w:r>
    </w:p>
    <w:p>
      <w:pPr>
        <w:widowControl/>
        <w:wordWrap w:val="0"/>
        <w:spacing w:line="500" w:lineRule="exact"/>
        <w:jc w:val="left"/>
        <w:rPr>
          <w:rFonts w:ascii="仿宋_GB2312" w:eastAsia="仿宋_GB2312"/>
          <w:color w:val="000000"/>
          <w:sz w:val="28"/>
          <w:szCs w:val="28"/>
        </w:rPr>
      </w:pPr>
      <w:r>
        <w:rPr>
          <w:rFonts w:hint="eastAsia" w:ascii="仿宋_GB2312" w:eastAsia="仿宋_GB2312"/>
          <w:color w:val="000000"/>
          <w:sz w:val="28"/>
          <w:szCs w:val="28"/>
        </w:rPr>
        <w:t>      各系（部）应把每次创新创业学分认定情况在本系（部）进行公示，以便监督。教务处每年对学分认定情况及支持材料进行随机抽查，以确保工作质量。</w:t>
      </w:r>
    </w:p>
    <w:p>
      <w:pPr>
        <w:widowControl/>
        <w:wordWrap w:val="0"/>
        <w:spacing w:line="50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 </w:t>
      </w:r>
      <w:r>
        <w:rPr>
          <w:rFonts w:hint="eastAsia" w:ascii="仿宋_GB2312" w:eastAsia="仿宋_GB2312"/>
          <w:b/>
          <w:bCs/>
          <w:color w:val="000000"/>
          <w:sz w:val="28"/>
          <w:szCs w:val="28"/>
        </w:rPr>
        <w:t>第九条</w:t>
      </w:r>
      <w:r>
        <w:rPr>
          <w:rFonts w:hint="eastAsia" w:ascii="仿宋_GB2312" w:eastAsia="仿宋_GB2312"/>
          <w:color w:val="000000"/>
          <w:sz w:val="28"/>
          <w:szCs w:val="28"/>
        </w:rPr>
        <w:t>  学生填写的创新创业学分认定申请和相关证明材料必须真实可靠。弄虚作假者，取消所获得的相关学分、荣誉和待遇，以作弊论处；因项目活动组织部门及相关教师管理不严，造成不良影响的，将予以通报批评；认定的学分违背本规定、与实际不符的，需重新认定；认定违规问题严重的，视情节追究当事人的责任。</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第十条</w:t>
      </w:r>
      <w:r>
        <w:rPr>
          <w:rFonts w:hint="eastAsia" w:ascii="仿宋_GB2312" w:eastAsia="仿宋_GB2312"/>
          <w:color w:val="000000"/>
          <w:sz w:val="28"/>
          <w:szCs w:val="28"/>
        </w:rPr>
        <w:t>  在本办法执行过程中，遇到争议事项，不能解决的，报教务处协调处理。本办法尚未涉及到的其他活动，若符合本办法精神，由活动组织部门申报，经教务处确认后，可组织开展活动，并纳入创新创业学分认定范围。</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第十一条</w:t>
      </w:r>
      <w:r>
        <w:rPr>
          <w:rFonts w:hint="eastAsia" w:ascii="仿宋_GB2312" w:eastAsia="仿宋_GB2312"/>
          <w:color w:val="000000"/>
          <w:sz w:val="28"/>
          <w:szCs w:val="28"/>
        </w:rPr>
        <w:t xml:space="preserve">  各项目认定部门可根据项目的特点制订相应的实施细则并报教务处核准。</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 xml:space="preserve">第十二条  </w:t>
      </w:r>
      <w:r>
        <w:rPr>
          <w:rFonts w:hint="eastAsia" w:ascii="仿宋_GB2312" w:eastAsia="仿宋_GB2312"/>
          <w:color w:val="000000"/>
          <w:sz w:val="28"/>
          <w:szCs w:val="28"/>
        </w:rPr>
        <w:t>本办法自发文之日起与教学计划配套执行。原有与本管理办法不一致的，以本管理办法为准。</w:t>
      </w:r>
      <w:r>
        <w:rPr>
          <w:rFonts w:hint="eastAsia" w:ascii="仿宋_GB2312" w:eastAsia="仿宋_GB2312"/>
          <w:b/>
          <w:bCs/>
          <w:color w:val="000000"/>
          <w:sz w:val="28"/>
          <w:szCs w:val="28"/>
        </w:rPr>
        <w:t xml:space="preserve"> </w:t>
      </w:r>
      <w:r>
        <w:rPr>
          <w:rFonts w:hint="eastAsia" w:ascii="仿宋_GB2312" w:eastAsia="仿宋_GB2312"/>
          <w:color w:val="000000"/>
          <w:sz w:val="28"/>
          <w:szCs w:val="28"/>
        </w:rPr>
        <w:t> </w:t>
      </w:r>
    </w:p>
    <w:p>
      <w:pPr>
        <w:widowControl/>
        <w:wordWrap w:val="0"/>
        <w:spacing w:line="50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第十三条</w:t>
      </w:r>
      <w:r>
        <w:rPr>
          <w:rFonts w:hint="eastAsia" w:ascii="仿宋_GB2312" w:eastAsia="仿宋_GB2312"/>
          <w:color w:val="000000"/>
          <w:sz w:val="28"/>
          <w:szCs w:val="28"/>
        </w:rPr>
        <w:t xml:space="preserve">  本办法由教务处负责解释。</w:t>
      </w:r>
    </w:p>
    <w:p>
      <w:pPr>
        <w:widowControl/>
        <w:wordWrap w:val="0"/>
        <w:spacing w:line="600" w:lineRule="exact"/>
        <w:jc w:val="left"/>
        <w:rPr>
          <w:rFonts w:ascii="仿宋_GB2312" w:eastAsia="仿宋_GB2312"/>
          <w:color w:val="000000"/>
          <w:sz w:val="44"/>
          <w:szCs w:val="44"/>
        </w:rPr>
      </w:pPr>
      <w:r>
        <w:rPr>
          <w:rFonts w:hint="eastAsia" w:ascii="仿宋_GB2312" w:eastAsia="仿宋_GB2312"/>
          <w:color w:val="000000"/>
          <w:sz w:val="28"/>
          <w:szCs w:val="28"/>
        </w:rPr>
        <w:br w:type="page"/>
      </w:r>
      <w:r>
        <w:rPr>
          <w:rFonts w:hint="eastAsia" w:ascii="仿宋_GB2312" w:eastAsia="仿宋_GB2312"/>
          <w:color w:val="000000"/>
          <w:sz w:val="32"/>
          <w:szCs w:val="32"/>
        </w:rPr>
        <w:t>附件：</w:t>
      </w:r>
    </w:p>
    <w:p>
      <w:pPr>
        <w:widowControl/>
        <w:spacing w:line="540" w:lineRule="exact"/>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安阳幼儿师范高等专科学校</w:t>
      </w:r>
    </w:p>
    <w:p>
      <w:pPr>
        <w:widowControl/>
        <w:spacing w:line="540" w:lineRule="exact"/>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创新创业学分获得途径及核定标准</w:t>
      </w:r>
    </w:p>
    <w:p>
      <w:pPr>
        <w:widowControl/>
        <w:wordWrap w:val="0"/>
        <w:spacing w:line="432" w:lineRule="auto"/>
        <w:ind w:firstLine="640" w:firstLineChars="200"/>
        <w:jc w:val="left"/>
        <w:rPr>
          <w:rFonts w:ascii="黑体" w:hAnsi="黑体" w:eastAsia="黑体" w:cs="黑体"/>
          <w:bCs/>
          <w:color w:val="000000"/>
          <w:sz w:val="32"/>
          <w:szCs w:val="32"/>
        </w:rPr>
      </w:pPr>
    </w:p>
    <w:p>
      <w:pPr>
        <w:widowControl/>
        <w:wordWrap w:val="0"/>
        <w:spacing w:line="432" w:lineRule="auto"/>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一、各级各类学科竞赛及科技文体竞赛</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31"/>
        <w:gridCol w:w="1846"/>
        <w:gridCol w:w="146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序号</w:t>
            </w:r>
          </w:p>
        </w:tc>
        <w:tc>
          <w:tcPr>
            <w:tcW w:w="1701"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级别</w:t>
            </w: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获奖等级</w:t>
            </w:r>
          </w:p>
        </w:tc>
        <w:tc>
          <w:tcPr>
            <w:tcW w:w="1559"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学分</w:t>
            </w:r>
          </w:p>
        </w:tc>
        <w:tc>
          <w:tcPr>
            <w:tcW w:w="2999"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restart"/>
            <w:shd w:val="clear" w:color="auto" w:fill="auto"/>
            <w:vAlign w:val="center"/>
          </w:tcPr>
          <w:p>
            <w:pPr>
              <w:widowControl/>
              <w:wordWrap w:val="0"/>
              <w:spacing w:line="336" w:lineRule="auto"/>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1</w:t>
            </w:r>
          </w:p>
        </w:tc>
        <w:tc>
          <w:tcPr>
            <w:tcW w:w="1701" w:type="dxa"/>
            <w:vMerge w:val="restart"/>
            <w:shd w:val="clear" w:color="auto" w:fill="auto"/>
            <w:vAlign w:val="center"/>
          </w:tcPr>
          <w:p>
            <w:pPr>
              <w:widowControl/>
              <w:spacing w:line="336" w:lineRule="auto"/>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国家级</w:t>
            </w: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一等奖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4</w:t>
            </w:r>
          </w:p>
        </w:tc>
        <w:tc>
          <w:tcPr>
            <w:tcW w:w="2999" w:type="dxa"/>
            <w:vMerge w:val="restart"/>
            <w:shd w:val="clear" w:color="auto" w:fill="auto"/>
          </w:tcPr>
          <w:p>
            <w:pPr>
              <w:widowControl/>
              <w:wordWrap w:val="0"/>
              <w:spacing w:line="336" w:lineRule="auto"/>
              <w:ind w:firstLine="360" w:firstLineChars="150"/>
              <w:jc w:val="left"/>
              <w:rPr>
                <w:rFonts w:ascii="仿宋_GB2312" w:hAnsi="Verdana" w:eastAsia="仿宋_GB2312" w:cs="宋体"/>
                <w:color w:val="000000"/>
                <w:kern w:val="0"/>
                <w:sz w:val="24"/>
              </w:rPr>
            </w:pPr>
            <w:r>
              <w:rPr>
                <w:rFonts w:hint="eastAsia" w:ascii="仿宋_GB2312" w:hAnsi="Verdana" w:eastAsia="仿宋_GB2312" w:cs="宋体"/>
                <w:color w:val="000000"/>
                <w:kern w:val="0"/>
                <w:sz w:val="24"/>
              </w:rPr>
              <w:t>1.全国性行业协会竞赛参照省部级竞赛给予认定学分；</w:t>
            </w:r>
          </w:p>
          <w:p>
            <w:pPr>
              <w:widowControl/>
              <w:wordWrap w:val="0"/>
              <w:spacing w:line="336" w:lineRule="auto"/>
              <w:ind w:firstLine="360" w:firstLineChars="150"/>
              <w:jc w:val="left"/>
              <w:rPr>
                <w:rFonts w:ascii="仿宋_GB2312" w:hAnsi="Verdana" w:eastAsia="仿宋_GB2312" w:cs="宋体"/>
                <w:color w:val="000000"/>
                <w:kern w:val="0"/>
                <w:sz w:val="24"/>
              </w:rPr>
            </w:pPr>
            <w:r>
              <w:rPr>
                <w:rFonts w:hint="eastAsia" w:ascii="仿宋_GB2312" w:hAnsi="Verdana" w:eastAsia="仿宋_GB2312" w:cs="宋体"/>
                <w:color w:val="000000"/>
                <w:kern w:val="0"/>
                <w:sz w:val="24"/>
              </w:rPr>
              <w:t>2.区域性行业协会竞赛参照校级竞赛给予认定学分；</w:t>
            </w:r>
          </w:p>
          <w:p>
            <w:pPr>
              <w:widowControl/>
              <w:wordWrap w:val="0"/>
              <w:spacing w:line="336" w:lineRule="auto"/>
              <w:ind w:firstLine="360" w:firstLineChars="150"/>
              <w:jc w:val="left"/>
              <w:rPr>
                <w:rFonts w:ascii="仿宋_GB2312" w:hAnsi="Verdana" w:eastAsia="仿宋_GB2312" w:cs="宋体"/>
                <w:color w:val="000000"/>
                <w:kern w:val="0"/>
                <w:sz w:val="24"/>
              </w:rPr>
            </w:pPr>
            <w:r>
              <w:rPr>
                <w:rFonts w:hint="eastAsia" w:ascii="仿宋_GB2312" w:hAnsi="Verdana" w:eastAsia="仿宋_GB2312" w:cs="宋体"/>
                <w:color w:val="000000"/>
                <w:kern w:val="0"/>
                <w:sz w:val="24"/>
              </w:rPr>
              <w:t>3.文体类竞赛冠、亚、季军等同一等奖、二等奖、三等奖；</w:t>
            </w:r>
          </w:p>
          <w:p>
            <w:pPr>
              <w:widowControl/>
              <w:wordWrap w:val="0"/>
              <w:spacing w:line="336" w:lineRule="auto"/>
              <w:ind w:firstLine="360" w:firstLineChars="150"/>
              <w:jc w:val="left"/>
              <w:rPr>
                <w:rFonts w:ascii="Verdana" w:hAnsi="Verdana" w:cs="宋体"/>
                <w:color w:val="000000"/>
                <w:kern w:val="0"/>
                <w:sz w:val="24"/>
              </w:rPr>
            </w:pPr>
            <w:r>
              <w:rPr>
                <w:rFonts w:hint="eastAsia" w:ascii="仿宋_GB2312" w:hAnsi="Verdana" w:eastAsia="仿宋_GB2312" w:cs="宋体"/>
                <w:color w:val="000000"/>
                <w:kern w:val="0"/>
                <w:sz w:val="24"/>
              </w:rPr>
              <w:t>4.文体类竞赛名次排名：第一、二名等同一等奖，第三、四、五名等同二等奖，第六、七、八名等同三等奖。</w:t>
            </w:r>
          </w:p>
          <w:p>
            <w:pPr>
              <w:ind w:firstLine="360" w:firstLineChars="150"/>
            </w:pPr>
            <w:r>
              <w:rPr>
                <w:rFonts w:hint="eastAsia" w:ascii="仿宋_GB2312" w:hAnsi="Verdana" w:eastAsia="仿宋_GB2312" w:cs="宋体"/>
                <w:color w:val="000000"/>
                <w:kern w:val="0"/>
                <w:sz w:val="24"/>
              </w:rPr>
              <w:t>提供获奖证书或表彰文件</w:t>
            </w:r>
          </w:p>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701"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二等奖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3</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701"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三等奖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2.5</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restart"/>
            <w:shd w:val="clear" w:color="auto" w:fill="auto"/>
            <w:vAlign w:val="center"/>
          </w:tcPr>
          <w:p>
            <w:pPr>
              <w:widowControl/>
              <w:wordWrap w:val="0"/>
              <w:spacing w:line="336" w:lineRule="auto"/>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2</w:t>
            </w:r>
          </w:p>
        </w:tc>
        <w:tc>
          <w:tcPr>
            <w:tcW w:w="1701" w:type="dxa"/>
            <w:vMerge w:val="restart"/>
            <w:shd w:val="clear" w:color="auto" w:fill="auto"/>
            <w:vAlign w:val="center"/>
          </w:tcPr>
          <w:p>
            <w:pPr>
              <w:widowControl/>
              <w:wordWrap w:val="0"/>
              <w:spacing w:line="336" w:lineRule="auto"/>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省部级</w:t>
            </w: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一等奖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2</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701"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二等奖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1.8</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701"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三等奖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1.6</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restart"/>
            <w:shd w:val="clear" w:color="auto" w:fill="auto"/>
            <w:vAlign w:val="center"/>
          </w:tcPr>
          <w:p>
            <w:pPr>
              <w:widowControl/>
              <w:wordWrap w:val="0"/>
              <w:spacing w:line="336" w:lineRule="auto"/>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3</w:t>
            </w:r>
          </w:p>
        </w:tc>
        <w:tc>
          <w:tcPr>
            <w:tcW w:w="1701" w:type="dxa"/>
            <w:vMerge w:val="restart"/>
            <w:shd w:val="clear" w:color="auto" w:fill="auto"/>
            <w:vAlign w:val="center"/>
          </w:tcPr>
          <w:p>
            <w:pPr>
              <w:widowControl/>
              <w:wordWrap w:val="0"/>
              <w:spacing w:line="336" w:lineRule="auto"/>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校级</w:t>
            </w: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一等奖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1.5</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701"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二等奖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1.2</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701" w:type="dxa"/>
            <w:vMerge w:val="continue"/>
            <w:shd w:val="clear" w:color="auto" w:fill="auto"/>
            <w:vAlign w:val="center"/>
          </w:tcPr>
          <w:p>
            <w:pPr>
              <w:widowControl/>
              <w:wordWrap w:val="0"/>
              <w:spacing w:line="336" w:lineRule="auto"/>
              <w:jc w:val="center"/>
              <w:rPr>
                <w:rFonts w:ascii="仿宋_GB2312" w:hAnsi="Verdana" w:eastAsia="仿宋_GB2312" w:cs="宋体"/>
                <w:color w:val="000000"/>
                <w:kern w:val="0"/>
                <w:sz w:val="24"/>
              </w:rPr>
            </w:pP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三等奖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1</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restart"/>
            <w:shd w:val="clear" w:color="auto" w:fill="auto"/>
            <w:vAlign w:val="center"/>
          </w:tcPr>
          <w:p>
            <w:pPr>
              <w:widowControl/>
              <w:wordWrap w:val="0"/>
              <w:spacing w:line="336" w:lineRule="auto"/>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4</w:t>
            </w:r>
          </w:p>
        </w:tc>
        <w:tc>
          <w:tcPr>
            <w:tcW w:w="1701" w:type="dxa"/>
            <w:vMerge w:val="restart"/>
            <w:shd w:val="clear" w:color="auto" w:fill="auto"/>
            <w:vAlign w:val="center"/>
          </w:tcPr>
          <w:p>
            <w:pPr>
              <w:widowControl/>
              <w:wordWrap w:val="0"/>
              <w:spacing w:line="336" w:lineRule="auto"/>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系（部）级</w:t>
            </w: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一等奖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0.8</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7" w:type="dxa"/>
            <w:vMerge w:val="continue"/>
            <w:shd w:val="clear" w:color="auto" w:fill="auto"/>
          </w:tcPr>
          <w:p>
            <w:pPr>
              <w:widowControl/>
              <w:wordWrap w:val="0"/>
              <w:spacing w:line="432" w:lineRule="auto"/>
              <w:jc w:val="left"/>
              <w:rPr>
                <w:rFonts w:ascii="黑体" w:hAnsi="黑体" w:eastAsia="黑体" w:cs="黑体"/>
                <w:bCs/>
                <w:color w:val="000000"/>
                <w:szCs w:val="21"/>
              </w:rPr>
            </w:pPr>
          </w:p>
        </w:tc>
        <w:tc>
          <w:tcPr>
            <w:tcW w:w="1701" w:type="dxa"/>
            <w:vMerge w:val="continue"/>
            <w:shd w:val="clear" w:color="auto" w:fill="auto"/>
          </w:tcPr>
          <w:p>
            <w:pPr>
              <w:widowControl/>
              <w:wordWrap w:val="0"/>
              <w:spacing w:line="432" w:lineRule="auto"/>
              <w:jc w:val="left"/>
              <w:rPr>
                <w:rFonts w:ascii="黑体" w:hAnsi="黑体" w:eastAsia="黑体" w:cs="黑体"/>
                <w:bCs/>
                <w:color w:val="000000"/>
                <w:szCs w:val="21"/>
              </w:rPr>
            </w:pPr>
          </w:p>
        </w:tc>
        <w:tc>
          <w:tcPr>
            <w:tcW w:w="1985" w:type="dxa"/>
            <w:shd w:val="clear" w:color="auto" w:fill="auto"/>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二等奖</w:t>
            </w:r>
          </w:p>
        </w:tc>
        <w:tc>
          <w:tcPr>
            <w:tcW w:w="1559" w:type="dxa"/>
            <w:shd w:val="clear" w:color="auto" w:fill="auto"/>
          </w:tcPr>
          <w:p>
            <w:pPr>
              <w:widowControl/>
              <w:spacing w:line="432" w:lineRule="auto"/>
              <w:jc w:val="center"/>
              <w:rPr>
                <w:rFonts w:ascii="黑体" w:hAnsi="黑体" w:eastAsia="黑体" w:cs="黑体"/>
                <w:bCs/>
                <w:color w:val="000000"/>
                <w:szCs w:val="21"/>
              </w:rPr>
            </w:pPr>
            <w:r>
              <w:rPr>
                <w:rFonts w:hint="eastAsia" w:ascii="黑体" w:hAnsi="黑体" w:eastAsia="黑体" w:cs="黑体"/>
                <w:bCs/>
                <w:color w:val="000000"/>
                <w:szCs w:val="21"/>
              </w:rPr>
              <w:t>0.5</w:t>
            </w:r>
          </w:p>
        </w:tc>
        <w:tc>
          <w:tcPr>
            <w:tcW w:w="2999" w:type="dxa"/>
            <w:vMerge w:val="continue"/>
            <w:shd w:val="clear" w:color="auto" w:fill="auto"/>
          </w:tcPr>
          <w:p>
            <w:pPr>
              <w:widowControl/>
              <w:wordWrap w:val="0"/>
              <w:spacing w:line="432" w:lineRule="auto"/>
              <w:jc w:val="left"/>
              <w:rPr>
                <w:rFonts w:ascii="黑体" w:hAnsi="黑体" w:eastAsia="黑体" w:cs="黑体"/>
                <w:bCs/>
                <w:color w:val="000000"/>
                <w:szCs w:val="21"/>
              </w:rPr>
            </w:pPr>
          </w:p>
        </w:tc>
      </w:tr>
    </w:tbl>
    <w:p>
      <w:pPr>
        <w:widowControl/>
        <w:wordWrap w:val="0"/>
        <w:spacing w:line="432" w:lineRule="auto"/>
        <w:ind w:firstLine="640" w:firstLineChars="200"/>
        <w:jc w:val="left"/>
        <w:rPr>
          <w:rFonts w:ascii="黑体" w:hAnsi="黑体" w:eastAsia="黑体" w:cs="黑体"/>
          <w:color w:val="000000"/>
          <w:sz w:val="32"/>
          <w:szCs w:val="32"/>
        </w:rPr>
      </w:pPr>
      <w:r>
        <w:rPr>
          <w:rFonts w:hint="eastAsia" w:ascii="黑体" w:hAnsi="黑体" w:eastAsia="黑体" w:cs="黑体"/>
          <w:bCs/>
          <w:color w:val="000000"/>
          <w:sz w:val="32"/>
          <w:szCs w:val="32"/>
        </w:rPr>
        <w:t>二、科学研究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600"/>
        <w:gridCol w:w="1880"/>
        <w:gridCol w:w="1830"/>
        <w:gridCol w:w="684"/>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序号</w:t>
            </w:r>
          </w:p>
        </w:tc>
        <w:tc>
          <w:tcPr>
            <w:tcW w:w="1701"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项 目</w:t>
            </w:r>
          </w:p>
        </w:tc>
        <w:tc>
          <w:tcPr>
            <w:tcW w:w="2012"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条 件</w:t>
            </w:r>
          </w:p>
        </w:tc>
        <w:tc>
          <w:tcPr>
            <w:tcW w:w="1957"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标 准</w:t>
            </w:r>
          </w:p>
        </w:tc>
        <w:tc>
          <w:tcPr>
            <w:tcW w:w="709"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学分</w:t>
            </w:r>
          </w:p>
        </w:tc>
        <w:tc>
          <w:tcPr>
            <w:tcW w:w="1865"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vMerge w:val="restart"/>
            <w:vAlign w:val="center"/>
          </w:tcPr>
          <w:p>
            <w:pPr>
              <w:widowControl/>
              <w:wordWrap w:val="0"/>
              <w:spacing w:line="432" w:lineRule="auto"/>
              <w:jc w:val="center"/>
              <w:rPr>
                <w:rFonts w:ascii="仿宋_GB2312" w:eastAsia="仿宋_GB2312"/>
                <w:color w:val="000000"/>
                <w:sz w:val="32"/>
              </w:rPr>
            </w:pPr>
            <w:r>
              <w:rPr>
                <w:rFonts w:hint="eastAsia" w:ascii="仿宋_GB2312" w:eastAsia="仿宋_GB2312"/>
                <w:color w:val="000000"/>
                <w:sz w:val="32"/>
              </w:rPr>
              <w:t>1</w:t>
            </w:r>
          </w:p>
        </w:tc>
        <w:tc>
          <w:tcPr>
            <w:tcW w:w="1701" w:type="dxa"/>
            <w:vMerge w:val="restart"/>
            <w:vAlign w:val="center"/>
          </w:tcPr>
          <w:p>
            <w:pPr>
              <w:widowControl/>
              <w:wordWrap w:val="0"/>
              <w:jc w:val="center"/>
              <w:rPr>
                <w:rFonts w:ascii="仿宋_GB2312" w:eastAsia="仿宋_GB2312"/>
                <w:color w:val="000000"/>
                <w:sz w:val="32"/>
              </w:rPr>
            </w:pPr>
            <w:r>
              <w:rPr>
                <w:rFonts w:hint="eastAsia" w:ascii="仿宋_GB2312" w:hAnsi="Verdana" w:eastAsia="仿宋_GB2312" w:cs="宋体"/>
                <w:color w:val="000000"/>
                <w:kern w:val="0"/>
                <w:sz w:val="24"/>
              </w:rPr>
              <w:t>大学生创新训练项目（含科技创新、实验创新）</w:t>
            </w:r>
          </w:p>
        </w:tc>
        <w:tc>
          <w:tcPr>
            <w:tcW w:w="2012" w:type="dxa"/>
            <w:vMerge w:val="restart"/>
            <w:vAlign w:val="center"/>
          </w:tcPr>
          <w:p>
            <w:pPr>
              <w:widowControl/>
              <w:wordWrap w:val="0"/>
              <w:jc w:val="center"/>
              <w:rPr>
                <w:rFonts w:ascii="仿宋_GB2312" w:eastAsia="仿宋_GB2312"/>
                <w:color w:val="000000"/>
                <w:sz w:val="32"/>
              </w:rPr>
            </w:pPr>
            <w:r>
              <w:rPr>
                <w:rFonts w:hint="eastAsia" w:ascii="仿宋_GB2312" w:hAnsi="Verdana" w:eastAsia="仿宋_GB2312" w:cs="宋体"/>
                <w:color w:val="000000"/>
                <w:kern w:val="0"/>
                <w:sz w:val="24"/>
              </w:rPr>
              <w:t>学校或主管教学部门批准的科技创新实验项目</w:t>
            </w:r>
          </w:p>
        </w:tc>
        <w:tc>
          <w:tcPr>
            <w:tcW w:w="1957"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结题（国家级）</w:t>
            </w:r>
          </w:p>
        </w:tc>
        <w:tc>
          <w:tcPr>
            <w:tcW w:w="709"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4</w:t>
            </w:r>
          </w:p>
        </w:tc>
        <w:tc>
          <w:tcPr>
            <w:tcW w:w="1865" w:type="dxa"/>
            <w:vAlign w:val="center"/>
          </w:tcPr>
          <w:p>
            <w:pPr>
              <w:widowControl/>
              <w:wordWrap w:val="0"/>
              <w:jc w:val="left"/>
              <w:rPr>
                <w:rFonts w:ascii="Verdana" w:hAnsi="Verdana" w:cs="宋体"/>
                <w:color w:val="000000"/>
                <w:kern w:val="0"/>
                <w:sz w:val="24"/>
              </w:rPr>
            </w:pPr>
            <w:r>
              <w:rPr>
                <w:rFonts w:hint="eastAsia" w:ascii="仿宋_GB2312" w:hAnsi="Verdana" w:eastAsia="仿宋_GB2312" w:cs="宋体"/>
                <w:color w:val="000000"/>
                <w:kern w:val="0"/>
                <w:sz w:val="24"/>
              </w:rPr>
              <w:t>负责人4分，成员3分。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widowControl/>
              <w:wordWrap w:val="0"/>
              <w:spacing w:line="432" w:lineRule="auto"/>
              <w:jc w:val="center"/>
              <w:rPr>
                <w:rFonts w:ascii="仿宋_GB2312" w:eastAsia="仿宋_GB2312"/>
                <w:color w:val="000000"/>
                <w:sz w:val="32"/>
              </w:rPr>
            </w:pPr>
          </w:p>
        </w:tc>
        <w:tc>
          <w:tcPr>
            <w:tcW w:w="1701" w:type="dxa"/>
            <w:vMerge w:val="continue"/>
          </w:tcPr>
          <w:p>
            <w:pPr>
              <w:widowControl/>
              <w:wordWrap w:val="0"/>
              <w:spacing w:line="432" w:lineRule="auto"/>
              <w:jc w:val="left"/>
              <w:rPr>
                <w:rFonts w:ascii="仿宋_GB2312" w:eastAsia="仿宋_GB2312"/>
                <w:color w:val="000000"/>
                <w:sz w:val="32"/>
              </w:rPr>
            </w:pPr>
          </w:p>
        </w:tc>
        <w:tc>
          <w:tcPr>
            <w:tcW w:w="2012" w:type="dxa"/>
            <w:vMerge w:val="continue"/>
          </w:tcPr>
          <w:p>
            <w:pPr>
              <w:widowControl/>
              <w:wordWrap w:val="0"/>
              <w:spacing w:line="432" w:lineRule="auto"/>
              <w:jc w:val="left"/>
              <w:rPr>
                <w:rFonts w:ascii="仿宋_GB2312" w:eastAsia="仿宋_GB2312"/>
                <w:color w:val="000000"/>
                <w:sz w:val="32"/>
              </w:rPr>
            </w:pPr>
          </w:p>
        </w:tc>
        <w:tc>
          <w:tcPr>
            <w:tcW w:w="1957"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结题（省级）</w:t>
            </w:r>
          </w:p>
        </w:tc>
        <w:tc>
          <w:tcPr>
            <w:tcW w:w="709"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3</w:t>
            </w:r>
          </w:p>
        </w:tc>
        <w:tc>
          <w:tcPr>
            <w:tcW w:w="1865" w:type="dxa"/>
            <w:vAlign w:val="center"/>
          </w:tcPr>
          <w:p>
            <w:pPr>
              <w:widowControl/>
              <w:wordWrap w:val="0"/>
              <w:jc w:val="left"/>
              <w:rPr>
                <w:rFonts w:ascii="Verdana" w:hAnsi="Verdana" w:cs="宋体"/>
                <w:color w:val="000000"/>
                <w:kern w:val="0"/>
                <w:sz w:val="24"/>
              </w:rPr>
            </w:pPr>
            <w:r>
              <w:rPr>
                <w:rFonts w:hint="eastAsia" w:ascii="仿宋_GB2312" w:hAnsi="Verdana" w:eastAsia="仿宋_GB2312" w:cs="宋体"/>
                <w:color w:val="000000"/>
                <w:kern w:val="0"/>
                <w:sz w:val="24"/>
              </w:rPr>
              <w:t>负责人3分，成员2分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widowControl/>
              <w:wordWrap w:val="0"/>
              <w:spacing w:line="432" w:lineRule="auto"/>
              <w:jc w:val="center"/>
              <w:rPr>
                <w:rFonts w:ascii="仿宋_GB2312" w:eastAsia="仿宋_GB2312"/>
                <w:color w:val="000000"/>
                <w:sz w:val="32"/>
              </w:rPr>
            </w:pPr>
          </w:p>
        </w:tc>
        <w:tc>
          <w:tcPr>
            <w:tcW w:w="1701" w:type="dxa"/>
            <w:vMerge w:val="continue"/>
          </w:tcPr>
          <w:p>
            <w:pPr>
              <w:widowControl/>
              <w:wordWrap w:val="0"/>
              <w:spacing w:line="432" w:lineRule="auto"/>
              <w:jc w:val="left"/>
              <w:rPr>
                <w:rFonts w:ascii="仿宋_GB2312" w:eastAsia="仿宋_GB2312"/>
                <w:color w:val="000000"/>
                <w:sz w:val="32"/>
              </w:rPr>
            </w:pPr>
          </w:p>
        </w:tc>
        <w:tc>
          <w:tcPr>
            <w:tcW w:w="2012" w:type="dxa"/>
            <w:vMerge w:val="continue"/>
          </w:tcPr>
          <w:p>
            <w:pPr>
              <w:widowControl/>
              <w:wordWrap w:val="0"/>
              <w:spacing w:line="432" w:lineRule="auto"/>
              <w:jc w:val="left"/>
              <w:rPr>
                <w:rFonts w:ascii="仿宋_GB2312" w:eastAsia="仿宋_GB2312"/>
                <w:color w:val="000000"/>
                <w:sz w:val="32"/>
              </w:rPr>
            </w:pPr>
          </w:p>
        </w:tc>
        <w:tc>
          <w:tcPr>
            <w:tcW w:w="1957"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结题（校级）</w:t>
            </w:r>
          </w:p>
        </w:tc>
        <w:tc>
          <w:tcPr>
            <w:tcW w:w="709"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2</w:t>
            </w:r>
          </w:p>
        </w:tc>
        <w:tc>
          <w:tcPr>
            <w:tcW w:w="1865" w:type="dxa"/>
            <w:vAlign w:val="center"/>
          </w:tcPr>
          <w:p>
            <w:pPr>
              <w:widowControl/>
              <w:wordWrap w:val="0"/>
              <w:jc w:val="left"/>
              <w:rPr>
                <w:rFonts w:ascii="Verdana" w:hAnsi="Verdana" w:cs="宋体"/>
                <w:color w:val="000000"/>
                <w:kern w:val="0"/>
                <w:sz w:val="24"/>
              </w:rPr>
            </w:pPr>
            <w:r>
              <w:rPr>
                <w:rFonts w:hint="eastAsia" w:ascii="仿宋_GB2312" w:hAnsi="Verdana" w:eastAsia="仿宋_GB2312" w:cs="宋体"/>
                <w:color w:val="000000"/>
                <w:kern w:val="0"/>
                <w:sz w:val="24"/>
              </w:rPr>
              <w:t>负责人2分，成员1分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widowControl/>
              <w:wordWrap w:val="0"/>
              <w:spacing w:line="432" w:lineRule="auto"/>
              <w:jc w:val="center"/>
              <w:rPr>
                <w:rFonts w:ascii="仿宋_GB2312" w:eastAsia="仿宋_GB2312"/>
                <w:color w:val="000000"/>
                <w:sz w:val="32"/>
              </w:rPr>
            </w:pPr>
            <w:r>
              <w:rPr>
                <w:rFonts w:hint="eastAsia" w:ascii="仿宋_GB2312" w:eastAsia="仿宋_GB2312"/>
                <w:color w:val="000000"/>
                <w:sz w:val="32"/>
              </w:rPr>
              <w:t>2</w:t>
            </w:r>
          </w:p>
        </w:tc>
        <w:tc>
          <w:tcPr>
            <w:tcW w:w="1701" w:type="dxa"/>
            <w:vMerge w:val="restart"/>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参与教师课题</w:t>
            </w:r>
          </w:p>
        </w:tc>
        <w:tc>
          <w:tcPr>
            <w:tcW w:w="2012" w:type="dxa"/>
            <w:vMerge w:val="restart"/>
            <w:vAlign w:val="center"/>
          </w:tcPr>
          <w:p>
            <w:pPr>
              <w:widowControl/>
              <w:wordWrap w:val="0"/>
              <w:jc w:val="left"/>
              <w:rPr>
                <w:rFonts w:ascii="Verdana" w:hAnsi="Verdana" w:cs="宋体"/>
                <w:color w:val="000000"/>
                <w:kern w:val="0"/>
                <w:sz w:val="24"/>
              </w:rPr>
            </w:pPr>
            <w:r>
              <w:rPr>
                <w:rFonts w:hint="eastAsia" w:ascii="仿宋_GB2312" w:hAnsi="Verdana" w:eastAsia="仿宋_GB2312" w:cs="宋体"/>
                <w:color w:val="000000"/>
                <w:kern w:val="0"/>
                <w:sz w:val="24"/>
              </w:rPr>
              <w:t>有报告、实物等成果</w:t>
            </w:r>
          </w:p>
        </w:tc>
        <w:tc>
          <w:tcPr>
            <w:tcW w:w="1957"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结题（国家级）</w:t>
            </w:r>
          </w:p>
        </w:tc>
        <w:tc>
          <w:tcPr>
            <w:tcW w:w="709"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4</w:t>
            </w:r>
          </w:p>
        </w:tc>
        <w:tc>
          <w:tcPr>
            <w:tcW w:w="1865" w:type="dxa"/>
            <w:vMerge w:val="restart"/>
            <w:vAlign w:val="center"/>
          </w:tcPr>
          <w:p>
            <w:pPr>
              <w:widowControl/>
              <w:wordWrap w:val="0"/>
              <w:jc w:val="center"/>
              <w:rPr>
                <w:rFonts w:ascii="仿宋_GB2312" w:eastAsia="仿宋_GB2312"/>
                <w:color w:val="000000"/>
                <w:sz w:val="32"/>
              </w:rPr>
            </w:pPr>
            <w:r>
              <w:rPr>
                <w:rFonts w:hint="eastAsia" w:ascii="仿宋_GB2312" w:hAnsi="Verdana" w:eastAsia="仿宋_GB2312" w:cs="宋体"/>
                <w:color w:val="000000"/>
                <w:kern w:val="0"/>
                <w:sz w:val="24"/>
              </w:rPr>
              <w:t>提交课题组推荐信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widowControl/>
              <w:wordWrap w:val="0"/>
              <w:spacing w:line="432" w:lineRule="auto"/>
              <w:jc w:val="left"/>
              <w:rPr>
                <w:rFonts w:ascii="仿宋_GB2312" w:eastAsia="仿宋_GB2312"/>
                <w:color w:val="000000"/>
                <w:sz w:val="32"/>
              </w:rPr>
            </w:pPr>
          </w:p>
        </w:tc>
        <w:tc>
          <w:tcPr>
            <w:tcW w:w="1701" w:type="dxa"/>
            <w:vMerge w:val="continue"/>
            <w:vAlign w:val="center"/>
          </w:tcPr>
          <w:p>
            <w:pPr>
              <w:widowControl/>
              <w:wordWrap w:val="0"/>
              <w:spacing w:line="432" w:lineRule="auto"/>
              <w:jc w:val="left"/>
              <w:rPr>
                <w:rFonts w:ascii="仿宋_GB2312" w:eastAsia="仿宋_GB2312"/>
                <w:color w:val="000000"/>
                <w:sz w:val="32"/>
              </w:rPr>
            </w:pPr>
          </w:p>
        </w:tc>
        <w:tc>
          <w:tcPr>
            <w:tcW w:w="2012" w:type="dxa"/>
            <w:vMerge w:val="continue"/>
            <w:vAlign w:val="center"/>
          </w:tcPr>
          <w:p>
            <w:pPr>
              <w:widowControl/>
              <w:wordWrap w:val="0"/>
              <w:spacing w:line="432" w:lineRule="auto"/>
              <w:jc w:val="left"/>
              <w:rPr>
                <w:rFonts w:ascii="仿宋_GB2312" w:eastAsia="仿宋_GB2312"/>
                <w:color w:val="000000"/>
                <w:sz w:val="32"/>
              </w:rPr>
            </w:pPr>
          </w:p>
        </w:tc>
        <w:tc>
          <w:tcPr>
            <w:tcW w:w="1957"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结题（省级）</w:t>
            </w:r>
          </w:p>
        </w:tc>
        <w:tc>
          <w:tcPr>
            <w:tcW w:w="709"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3</w:t>
            </w:r>
          </w:p>
        </w:tc>
        <w:tc>
          <w:tcPr>
            <w:tcW w:w="1865" w:type="dxa"/>
            <w:vMerge w:val="continue"/>
          </w:tcPr>
          <w:p>
            <w:pPr>
              <w:widowControl/>
              <w:wordWrap w:val="0"/>
              <w:spacing w:line="432" w:lineRule="auto"/>
              <w:jc w:val="left"/>
              <w:rPr>
                <w:rFonts w:ascii="仿宋_GB2312"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widowControl/>
              <w:wordWrap w:val="0"/>
              <w:spacing w:line="432" w:lineRule="auto"/>
              <w:jc w:val="left"/>
              <w:rPr>
                <w:rFonts w:ascii="仿宋_GB2312" w:eastAsia="仿宋_GB2312"/>
                <w:color w:val="000000"/>
                <w:sz w:val="32"/>
              </w:rPr>
            </w:pPr>
          </w:p>
        </w:tc>
        <w:tc>
          <w:tcPr>
            <w:tcW w:w="1701" w:type="dxa"/>
            <w:vMerge w:val="continue"/>
            <w:vAlign w:val="center"/>
          </w:tcPr>
          <w:p>
            <w:pPr>
              <w:widowControl/>
              <w:wordWrap w:val="0"/>
              <w:spacing w:line="432" w:lineRule="auto"/>
              <w:jc w:val="left"/>
              <w:rPr>
                <w:rFonts w:ascii="仿宋_GB2312" w:eastAsia="仿宋_GB2312"/>
                <w:color w:val="000000"/>
                <w:sz w:val="32"/>
              </w:rPr>
            </w:pPr>
          </w:p>
        </w:tc>
        <w:tc>
          <w:tcPr>
            <w:tcW w:w="2012" w:type="dxa"/>
            <w:vMerge w:val="continue"/>
            <w:vAlign w:val="center"/>
          </w:tcPr>
          <w:p>
            <w:pPr>
              <w:widowControl/>
              <w:wordWrap w:val="0"/>
              <w:spacing w:line="432" w:lineRule="auto"/>
              <w:jc w:val="left"/>
              <w:rPr>
                <w:rFonts w:ascii="仿宋_GB2312" w:eastAsia="仿宋_GB2312"/>
                <w:color w:val="000000"/>
                <w:sz w:val="32"/>
              </w:rPr>
            </w:pPr>
          </w:p>
        </w:tc>
        <w:tc>
          <w:tcPr>
            <w:tcW w:w="1957"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结题（市级）</w:t>
            </w:r>
          </w:p>
        </w:tc>
        <w:tc>
          <w:tcPr>
            <w:tcW w:w="709"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2</w:t>
            </w:r>
          </w:p>
        </w:tc>
        <w:tc>
          <w:tcPr>
            <w:tcW w:w="1865" w:type="dxa"/>
            <w:vMerge w:val="continue"/>
          </w:tcPr>
          <w:p>
            <w:pPr>
              <w:widowControl/>
              <w:wordWrap w:val="0"/>
              <w:spacing w:line="432" w:lineRule="auto"/>
              <w:jc w:val="left"/>
              <w:rPr>
                <w:rFonts w:ascii="仿宋_GB2312"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widowControl/>
              <w:wordWrap w:val="0"/>
              <w:spacing w:line="432" w:lineRule="auto"/>
              <w:jc w:val="left"/>
              <w:rPr>
                <w:rFonts w:ascii="仿宋_GB2312" w:eastAsia="仿宋_GB2312"/>
                <w:color w:val="000000"/>
                <w:sz w:val="32"/>
              </w:rPr>
            </w:pPr>
          </w:p>
        </w:tc>
        <w:tc>
          <w:tcPr>
            <w:tcW w:w="1701" w:type="dxa"/>
            <w:vMerge w:val="continue"/>
            <w:vAlign w:val="center"/>
          </w:tcPr>
          <w:p>
            <w:pPr>
              <w:widowControl/>
              <w:wordWrap w:val="0"/>
              <w:spacing w:line="432" w:lineRule="auto"/>
              <w:jc w:val="left"/>
              <w:rPr>
                <w:rFonts w:ascii="仿宋_GB2312" w:eastAsia="仿宋_GB2312"/>
                <w:color w:val="000000"/>
                <w:sz w:val="32"/>
              </w:rPr>
            </w:pPr>
          </w:p>
        </w:tc>
        <w:tc>
          <w:tcPr>
            <w:tcW w:w="2012" w:type="dxa"/>
            <w:vMerge w:val="continue"/>
            <w:vAlign w:val="center"/>
          </w:tcPr>
          <w:p>
            <w:pPr>
              <w:widowControl/>
              <w:wordWrap w:val="0"/>
              <w:spacing w:line="432" w:lineRule="auto"/>
              <w:jc w:val="left"/>
              <w:rPr>
                <w:rFonts w:ascii="仿宋_GB2312" w:eastAsia="仿宋_GB2312"/>
                <w:color w:val="000000"/>
                <w:sz w:val="32"/>
              </w:rPr>
            </w:pPr>
          </w:p>
        </w:tc>
        <w:tc>
          <w:tcPr>
            <w:tcW w:w="1957"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结题（校级）</w:t>
            </w:r>
          </w:p>
        </w:tc>
        <w:tc>
          <w:tcPr>
            <w:tcW w:w="709"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1</w:t>
            </w:r>
          </w:p>
        </w:tc>
        <w:tc>
          <w:tcPr>
            <w:tcW w:w="1865" w:type="dxa"/>
            <w:vMerge w:val="continue"/>
          </w:tcPr>
          <w:p>
            <w:pPr>
              <w:widowControl/>
              <w:wordWrap w:val="0"/>
              <w:spacing w:line="432" w:lineRule="auto"/>
              <w:jc w:val="left"/>
              <w:rPr>
                <w:rFonts w:ascii="仿宋_GB2312"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17" w:type="dxa"/>
            <w:vAlign w:val="center"/>
          </w:tcPr>
          <w:p>
            <w:pPr>
              <w:widowControl/>
              <w:wordWrap w:val="0"/>
              <w:spacing w:line="432" w:lineRule="auto"/>
              <w:jc w:val="center"/>
              <w:rPr>
                <w:rFonts w:ascii="仿宋_GB2312" w:eastAsia="仿宋_GB2312"/>
                <w:color w:val="000000"/>
                <w:sz w:val="32"/>
              </w:rPr>
            </w:pPr>
            <w:r>
              <w:rPr>
                <w:rFonts w:hint="eastAsia" w:ascii="仿宋_GB2312" w:eastAsia="仿宋_GB2312"/>
                <w:color w:val="000000"/>
                <w:sz w:val="32"/>
              </w:rPr>
              <w:t>3</w:t>
            </w:r>
          </w:p>
        </w:tc>
        <w:tc>
          <w:tcPr>
            <w:tcW w:w="1701" w:type="dxa"/>
            <w:vAlign w:val="center"/>
          </w:tcPr>
          <w:p>
            <w:pPr>
              <w:widowControl/>
              <w:spacing w:line="432" w:lineRule="auto"/>
              <w:jc w:val="center"/>
              <w:rPr>
                <w:rFonts w:ascii="仿宋_GB2312" w:eastAsia="仿宋_GB2312"/>
                <w:color w:val="000000"/>
                <w:sz w:val="32"/>
              </w:rPr>
            </w:pPr>
            <w:r>
              <w:rPr>
                <w:rFonts w:hint="eastAsia" w:ascii="仿宋_GB2312" w:hAnsi="Verdana" w:eastAsia="仿宋_GB2312" w:cs="宋体"/>
                <w:color w:val="000000"/>
                <w:kern w:val="0"/>
                <w:sz w:val="24"/>
              </w:rPr>
              <w:t>其他</w:t>
            </w:r>
          </w:p>
        </w:tc>
        <w:tc>
          <w:tcPr>
            <w:tcW w:w="2012" w:type="dxa"/>
            <w:vAlign w:val="center"/>
          </w:tcPr>
          <w:p>
            <w:pPr>
              <w:widowControl/>
              <w:wordWrap w:val="0"/>
              <w:jc w:val="left"/>
              <w:rPr>
                <w:rFonts w:ascii="仿宋_GB2312" w:eastAsia="仿宋_GB2312"/>
                <w:color w:val="000000"/>
                <w:sz w:val="32"/>
              </w:rPr>
            </w:pPr>
            <w:r>
              <w:rPr>
                <w:rFonts w:hint="eastAsia" w:ascii="仿宋_GB2312" w:hAnsi="Verdana" w:eastAsia="仿宋_GB2312" w:cs="宋体"/>
                <w:color w:val="000000"/>
                <w:kern w:val="0"/>
                <w:sz w:val="24"/>
              </w:rPr>
              <w:t>不在上述范围内的其他成果</w:t>
            </w:r>
          </w:p>
        </w:tc>
        <w:tc>
          <w:tcPr>
            <w:tcW w:w="1957" w:type="dxa"/>
            <w:vAlign w:val="center"/>
          </w:tcPr>
          <w:p>
            <w:pPr>
              <w:widowControl/>
              <w:wordWrap w:val="0"/>
              <w:spacing w:line="336" w:lineRule="auto"/>
              <w:jc w:val="left"/>
              <w:rPr>
                <w:rFonts w:ascii="仿宋_GB2312" w:hAnsi="Verdana" w:eastAsia="仿宋_GB2312" w:cs="宋体"/>
                <w:color w:val="000000"/>
                <w:kern w:val="0"/>
                <w:sz w:val="24"/>
              </w:rPr>
            </w:pPr>
            <w:r>
              <w:rPr>
                <w:rFonts w:hint="eastAsia" w:ascii="仿宋_GB2312" w:hAnsi="Verdana" w:eastAsia="仿宋_GB2312" w:cs="宋体"/>
                <w:color w:val="000000"/>
                <w:kern w:val="0"/>
                <w:sz w:val="24"/>
              </w:rPr>
              <w:t>科研处审核</w:t>
            </w:r>
          </w:p>
        </w:tc>
        <w:tc>
          <w:tcPr>
            <w:tcW w:w="2574" w:type="dxa"/>
            <w:gridSpan w:val="2"/>
            <w:vAlign w:val="center"/>
          </w:tcPr>
          <w:p>
            <w:pPr>
              <w:widowControl/>
              <w:spacing w:line="336" w:lineRule="auto"/>
              <w:jc w:val="center"/>
              <w:rPr>
                <w:rFonts w:ascii="仿宋_GB2312" w:eastAsia="仿宋_GB2312"/>
                <w:color w:val="000000"/>
                <w:sz w:val="32"/>
              </w:rPr>
            </w:pPr>
            <w:r>
              <w:rPr>
                <w:rFonts w:hint="eastAsia" w:ascii="仿宋_GB2312" w:hAnsi="Verdana" w:eastAsia="仿宋_GB2312" w:cs="宋体"/>
                <w:color w:val="000000"/>
                <w:kern w:val="0"/>
                <w:sz w:val="24"/>
              </w:rPr>
              <w:t>参照以上各标准</w:t>
            </w:r>
          </w:p>
        </w:tc>
      </w:tr>
    </w:tbl>
    <w:p>
      <w:pPr>
        <w:widowControl/>
        <w:wordWrap w:val="0"/>
        <w:spacing w:line="432" w:lineRule="auto"/>
        <w:ind w:firstLine="640" w:firstLineChars="200"/>
        <w:jc w:val="left"/>
        <w:rPr>
          <w:rFonts w:ascii="黑体" w:hAnsi="黑体" w:eastAsia="黑体" w:cs="黑体"/>
          <w:bCs/>
          <w:color w:val="000000"/>
          <w:sz w:val="32"/>
          <w:szCs w:val="32"/>
        </w:rPr>
      </w:pPr>
      <w:r>
        <w:rPr>
          <w:rFonts w:hint="eastAsia" w:ascii="仿宋_GB2312" w:eastAsia="仿宋_GB2312"/>
          <w:color w:val="000000"/>
          <w:sz w:val="32"/>
        </w:rPr>
        <w:t> </w:t>
      </w:r>
      <w:r>
        <w:rPr>
          <w:rFonts w:hint="eastAsia" w:ascii="黑体" w:hAnsi="黑体" w:eastAsia="黑体" w:cs="黑体"/>
          <w:bCs/>
          <w:color w:val="000000"/>
          <w:sz w:val="32"/>
          <w:szCs w:val="32"/>
        </w:rPr>
        <w:t>三、发表学术论文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708"/>
        <w:gridCol w:w="1341"/>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序号</w:t>
            </w:r>
          </w:p>
        </w:tc>
        <w:tc>
          <w:tcPr>
            <w:tcW w:w="3969"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项目及标准</w:t>
            </w:r>
          </w:p>
        </w:tc>
        <w:tc>
          <w:tcPr>
            <w:tcW w:w="1418"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学分/篇</w:t>
            </w:r>
          </w:p>
        </w:tc>
        <w:tc>
          <w:tcPr>
            <w:tcW w:w="2857"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3969" w:type="dxa"/>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被SCI收录或EI收录</w:t>
            </w:r>
          </w:p>
        </w:tc>
        <w:tc>
          <w:tcPr>
            <w:tcW w:w="1418" w:type="dxa"/>
            <w:vAlign w:val="center"/>
          </w:tcPr>
          <w:p>
            <w:pPr>
              <w:widowControl/>
              <w:spacing w:line="400" w:lineRule="exact"/>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5</w:t>
            </w:r>
          </w:p>
        </w:tc>
        <w:tc>
          <w:tcPr>
            <w:tcW w:w="2857" w:type="dxa"/>
            <w:vMerge w:val="restart"/>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1.提供发表论文的刊物；</w:t>
            </w:r>
          </w:p>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2.属多人合作完成者，按系数分配学分，具体系数参见附件九。</w:t>
            </w:r>
          </w:p>
          <w:p>
            <w:pPr>
              <w:widowControl/>
              <w:wordWrap w:val="0"/>
              <w:spacing w:line="432" w:lineRule="auto"/>
              <w:rPr>
                <w:rFonts w:ascii="仿宋_GB2312" w:hAnsi="黑体" w:eastAsia="仿宋_GB2312" w:cs="黑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3969" w:type="dxa"/>
            <w:vAlign w:val="center"/>
          </w:tcPr>
          <w:p>
            <w:pPr>
              <w:widowControl/>
              <w:wordWrap w:val="0"/>
              <w:spacing w:line="400" w:lineRule="exac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国内核心期刊发表或国际性学术会议收录</w:t>
            </w:r>
          </w:p>
        </w:tc>
        <w:tc>
          <w:tcPr>
            <w:tcW w:w="1418" w:type="dxa"/>
            <w:vAlign w:val="center"/>
          </w:tcPr>
          <w:p>
            <w:pPr>
              <w:widowControl/>
              <w:wordWrap w:val="0"/>
              <w:spacing w:line="400" w:lineRule="exact"/>
              <w:jc w:val="center"/>
              <w:rPr>
                <w:rFonts w:ascii="楷体" w:hAnsi="楷体" w:eastAsia="楷体" w:cs="楷体"/>
                <w:color w:val="000000"/>
                <w:kern w:val="0"/>
                <w:sz w:val="24"/>
              </w:rPr>
            </w:pPr>
            <w:r>
              <w:rPr>
                <w:rFonts w:hint="eastAsia" w:ascii="楷体" w:hAnsi="楷体" w:eastAsia="楷体" w:cs="楷体"/>
                <w:color w:val="000000"/>
                <w:kern w:val="0"/>
                <w:sz w:val="24"/>
              </w:rPr>
              <w:t>4</w:t>
            </w:r>
          </w:p>
        </w:tc>
        <w:tc>
          <w:tcPr>
            <w:tcW w:w="2857" w:type="dxa"/>
            <w:vMerge w:val="continue"/>
          </w:tcPr>
          <w:p>
            <w:pPr>
              <w:widowControl/>
              <w:wordWrap w:val="0"/>
              <w:spacing w:line="432" w:lineRule="auto"/>
              <w:jc w:val="left"/>
              <w:rPr>
                <w:rFonts w:ascii="黑体" w:hAnsi="黑体" w:eastAsia="黑体" w:cs="黑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3</w:t>
            </w:r>
          </w:p>
        </w:tc>
        <w:tc>
          <w:tcPr>
            <w:tcW w:w="3969" w:type="dxa"/>
            <w:vAlign w:val="center"/>
          </w:tcPr>
          <w:p>
            <w:pPr>
              <w:widowControl/>
              <w:wordWrap w:val="0"/>
              <w:spacing w:line="400" w:lineRule="exac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公开出版期刊发表，或全国性报刊报道，或全国性学术会议收录论文</w:t>
            </w:r>
          </w:p>
        </w:tc>
        <w:tc>
          <w:tcPr>
            <w:tcW w:w="1418" w:type="dxa"/>
            <w:vAlign w:val="center"/>
          </w:tcPr>
          <w:p>
            <w:pPr>
              <w:widowControl/>
              <w:wordWrap w:val="0"/>
              <w:spacing w:line="400" w:lineRule="exact"/>
              <w:jc w:val="center"/>
              <w:rPr>
                <w:rFonts w:ascii="楷体" w:hAnsi="楷体" w:eastAsia="楷体" w:cs="楷体"/>
                <w:color w:val="000000"/>
                <w:kern w:val="0"/>
                <w:sz w:val="24"/>
              </w:rPr>
            </w:pPr>
            <w:r>
              <w:rPr>
                <w:rFonts w:hint="eastAsia" w:ascii="楷体" w:hAnsi="楷体" w:eastAsia="楷体" w:cs="楷体"/>
                <w:color w:val="000000"/>
                <w:kern w:val="0"/>
                <w:sz w:val="24"/>
              </w:rPr>
              <w:t>3</w:t>
            </w:r>
          </w:p>
        </w:tc>
        <w:tc>
          <w:tcPr>
            <w:tcW w:w="2857" w:type="dxa"/>
            <w:vMerge w:val="continue"/>
          </w:tcPr>
          <w:p>
            <w:pPr>
              <w:widowControl/>
              <w:wordWrap w:val="0"/>
              <w:spacing w:line="432" w:lineRule="auto"/>
              <w:jc w:val="left"/>
              <w:rPr>
                <w:rFonts w:ascii="黑体" w:hAnsi="黑体" w:eastAsia="黑体" w:cs="黑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4</w:t>
            </w:r>
          </w:p>
        </w:tc>
        <w:tc>
          <w:tcPr>
            <w:tcW w:w="3969" w:type="dxa"/>
            <w:vAlign w:val="center"/>
          </w:tcPr>
          <w:p>
            <w:pPr>
              <w:widowControl/>
              <w:wordWrap w:val="0"/>
              <w:spacing w:line="400" w:lineRule="exac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省级报刊报道，或省部级学术会议收录论文</w:t>
            </w:r>
          </w:p>
        </w:tc>
        <w:tc>
          <w:tcPr>
            <w:tcW w:w="1418" w:type="dxa"/>
            <w:vAlign w:val="center"/>
          </w:tcPr>
          <w:p>
            <w:pPr>
              <w:widowControl/>
              <w:wordWrap w:val="0"/>
              <w:spacing w:line="400" w:lineRule="exact"/>
              <w:jc w:val="center"/>
              <w:rPr>
                <w:rFonts w:ascii="楷体" w:hAnsi="楷体" w:eastAsia="楷体" w:cs="楷体"/>
                <w:color w:val="000000"/>
                <w:kern w:val="0"/>
                <w:sz w:val="24"/>
              </w:rPr>
            </w:pPr>
            <w:r>
              <w:rPr>
                <w:rFonts w:hint="eastAsia" w:ascii="楷体" w:hAnsi="楷体" w:eastAsia="楷体" w:cs="楷体"/>
                <w:color w:val="000000"/>
                <w:kern w:val="0"/>
                <w:sz w:val="24"/>
              </w:rPr>
              <w:t>2</w:t>
            </w:r>
          </w:p>
        </w:tc>
        <w:tc>
          <w:tcPr>
            <w:tcW w:w="2857" w:type="dxa"/>
            <w:vMerge w:val="continue"/>
          </w:tcPr>
          <w:p>
            <w:pPr>
              <w:widowControl/>
              <w:wordWrap w:val="0"/>
              <w:spacing w:line="432" w:lineRule="auto"/>
              <w:jc w:val="left"/>
              <w:rPr>
                <w:rFonts w:ascii="黑体" w:hAnsi="黑体" w:eastAsia="黑体" w:cs="黑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5</w:t>
            </w:r>
          </w:p>
        </w:tc>
        <w:tc>
          <w:tcPr>
            <w:tcW w:w="3969" w:type="dxa"/>
            <w:vAlign w:val="center"/>
          </w:tcPr>
          <w:p>
            <w:pPr>
              <w:widowControl/>
              <w:wordWrap w:val="0"/>
              <w:spacing w:line="400" w:lineRule="exact"/>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被校级刊物录用</w:t>
            </w:r>
          </w:p>
        </w:tc>
        <w:tc>
          <w:tcPr>
            <w:tcW w:w="1418" w:type="dxa"/>
            <w:vAlign w:val="center"/>
          </w:tcPr>
          <w:p>
            <w:pPr>
              <w:widowControl/>
              <w:wordWrap w:val="0"/>
              <w:spacing w:line="400" w:lineRule="exact"/>
              <w:jc w:val="center"/>
              <w:rPr>
                <w:rFonts w:ascii="楷体" w:hAnsi="楷体" w:eastAsia="楷体" w:cs="楷体"/>
                <w:color w:val="000000"/>
                <w:kern w:val="0"/>
                <w:sz w:val="24"/>
              </w:rPr>
            </w:pPr>
            <w:r>
              <w:rPr>
                <w:rFonts w:hint="eastAsia" w:ascii="楷体" w:hAnsi="楷体" w:eastAsia="楷体" w:cs="楷体"/>
                <w:color w:val="000000"/>
                <w:kern w:val="0"/>
                <w:sz w:val="24"/>
              </w:rPr>
              <w:t>1</w:t>
            </w:r>
          </w:p>
        </w:tc>
        <w:tc>
          <w:tcPr>
            <w:tcW w:w="2857" w:type="dxa"/>
            <w:vMerge w:val="continue"/>
          </w:tcPr>
          <w:p>
            <w:pPr>
              <w:widowControl/>
              <w:wordWrap w:val="0"/>
              <w:spacing w:line="432" w:lineRule="auto"/>
              <w:jc w:val="left"/>
              <w:rPr>
                <w:rFonts w:ascii="黑体" w:hAnsi="黑体" w:eastAsia="黑体" w:cs="黑体"/>
                <w:b/>
                <w:bCs/>
                <w:color w:val="000000"/>
                <w:sz w:val="32"/>
                <w:szCs w:val="32"/>
              </w:rPr>
            </w:pPr>
          </w:p>
        </w:tc>
      </w:tr>
    </w:tbl>
    <w:p>
      <w:pPr>
        <w:widowControl/>
        <w:wordWrap w:val="0"/>
        <w:spacing w:line="432" w:lineRule="auto"/>
        <w:jc w:val="left"/>
        <w:rPr>
          <w:rFonts w:ascii="黑体" w:hAnsi="黑体" w:eastAsia="黑体" w:cs="黑体"/>
          <w:color w:val="000000"/>
          <w:sz w:val="32"/>
          <w:szCs w:val="32"/>
        </w:rPr>
      </w:pPr>
      <w:r>
        <w:rPr>
          <w:rFonts w:hint="eastAsia" w:ascii="仿宋_GB2312" w:eastAsia="仿宋_GB2312"/>
          <w:color w:val="000000"/>
          <w:sz w:val="32"/>
        </w:rPr>
        <w:t> </w:t>
      </w:r>
      <w:r>
        <w:rPr>
          <w:rFonts w:hint="eastAsia" w:ascii="仿宋_GB2312" w:eastAsia="仿宋_GB2312"/>
          <w:color w:val="000000"/>
          <w:sz w:val="24"/>
        </w:rPr>
        <w:t xml:space="preserve">     </w:t>
      </w:r>
      <w:r>
        <w:rPr>
          <w:rFonts w:hint="eastAsia" w:ascii="黑体" w:hAnsi="黑体" w:eastAsia="黑体" w:cs="黑体"/>
          <w:color w:val="000000"/>
          <w:sz w:val="32"/>
          <w:szCs w:val="32"/>
        </w:rPr>
        <w:t>四、发明创造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503"/>
        <w:gridCol w:w="2144"/>
        <w:gridCol w:w="819"/>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9"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序号</w:t>
            </w:r>
          </w:p>
        </w:tc>
        <w:tc>
          <w:tcPr>
            <w:tcW w:w="2665"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项目</w:t>
            </w:r>
          </w:p>
        </w:tc>
        <w:tc>
          <w:tcPr>
            <w:tcW w:w="2296"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标准</w:t>
            </w:r>
          </w:p>
        </w:tc>
        <w:tc>
          <w:tcPr>
            <w:tcW w:w="851"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学分</w:t>
            </w:r>
          </w:p>
        </w:tc>
        <w:tc>
          <w:tcPr>
            <w:tcW w:w="2290"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665" w:type="dxa"/>
            <w:vMerge w:val="restart"/>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发明专利</w:t>
            </w:r>
            <w:r>
              <w:rPr>
                <w:rFonts w:hint="eastAsia" w:ascii="仿宋_GB2312" w:hAnsi="宋体" w:eastAsia="仿宋_GB2312" w:cs="宋体"/>
                <w:color w:val="000000"/>
                <w:kern w:val="0"/>
                <w:sz w:val="24"/>
              </w:rPr>
              <w:t> </w:t>
            </w:r>
          </w:p>
        </w:tc>
        <w:tc>
          <w:tcPr>
            <w:tcW w:w="2296" w:type="dxa"/>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第一专利权人</w:t>
            </w:r>
          </w:p>
        </w:tc>
        <w:tc>
          <w:tcPr>
            <w:tcW w:w="851"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2290" w:type="dxa"/>
            <w:vMerge w:val="restart"/>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提交专利授权证书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widowControl/>
              <w:spacing w:line="360" w:lineRule="auto"/>
              <w:jc w:val="left"/>
              <w:rPr>
                <w:rFonts w:ascii="仿宋_GB2312" w:hAnsi="楷体" w:eastAsia="仿宋_GB2312" w:cs="楷体"/>
                <w:color w:val="000000"/>
                <w:kern w:val="0"/>
                <w:sz w:val="24"/>
              </w:rPr>
            </w:pPr>
          </w:p>
        </w:tc>
        <w:tc>
          <w:tcPr>
            <w:tcW w:w="2665" w:type="dxa"/>
            <w:vMerge w:val="continue"/>
            <w:vAlign w:val="center"/>
          </w:tcPr>
          <w:p>
            <w:pPr>
              <w:widowControl/>
              <w:spacing w:line="360" w:lineRule="auto"/>
              <w:jc w:val="left"/>
              <w:rPr>
                <w:rFonts w:ascii="仿宋_GB2312" w:hAnsi="楷体" w:eastAsia="仿宋_GB2312" w:cs="楷体"/>
                <w:color w:val="000000"/>
                <w:kern w:val="0"/>
                <w:sz w:val="24"/>
              </w:rPr>
            </w:pPr>
          </w:p>
        </w:tc>
        <w:tc>
          <w:tcPr>
            <w:tcW w:w="2296" w:type="dxa"/>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一般成员</w:t>
            </w:r>
          </w:p>
        </w:tc>
        <w:tc>
          <w:tcPr>
            <w:tcW w:w="851"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290" w:type="dxa"/>
            <w:vMerge w:val="continue"/>
            <w:vAlign w:val="center"/>
          </w:tcPr>
          <w:p>
            <w:pPr>
              <w:widowControl/>
              <w:spacing w:line="360" w:lineRule="auto"/>
              <w:jc w:val="left"/>
              <w:rPr>
                <w:rFonts w:ascii="仿宋_GB2312" w:hAnsi="楷体" w:eastAsia="仿宋_GB2312"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2665" w:type="dxa"/>
            <w:vMerge w:val="restart"/>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实用新型专利</w:t>
            </w:r>
            <w:r>
              <w:rPr>
                <w:rFonts w:hint="eastAsia" w:ascii="仿宋_GB2312" w:hAnsi="宋体" w:eastAsia="仿宋_GB2312" w:cs="宋体"/>
                <w:color w:val="000000"/>
                <w:kern w:val="0"/>
                <w:sz w:val="24"/>
              </w:rPr>
              <w:t> </w:t>
            </w:r>
          </w:p>
        </w:tc>
        <w:tc>
          <w:tcPr>
            <w:tcW w:w="2296" w:type="dxa"/>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第一专利权人</w:t>
            </w:r>
          </w:p>
        </w:tc>
        <w:tc>
          <w:tcPr>
            <w:tcW w:w="851"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2290" w:type="dxa"/>
            <w:vMerge w:val="restart"/>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提交专利授权证书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widowControl/>
              <w:spacing w:line="360" w:lineRule="auto"/>
              <w:jc w:val="left"/>
              <w:rPr>
                <w:rFonts w:ascii="仿宋_GB2312" w:hAnsi="楷体" w:eastAsia="仿宋_GB2312" w:cs="楷体"/>
                <w:color w:val="000000"/>
                <w:kern w:val="0"/>
                <w:sz w:val="24"/>
              </w:rPr>
            </w:pPr>
          </w:p>
        </w:tc>
        <w:tc>
          <w:tcPr>
            <w:tcW w:w="2665" w:type="dxa"/>
            <w:vMerge w:val="continue"/>
            <w:vAlign w:val="center"/>
          </w:tcPr>
          <w:p>
            <w:pPr>
              <w:widowControl/>
              <w:spacing w:line="360" w:lineRule="auto"/>
              <w:jc w:val="left"/>
              <w:rPr>
                <w:rFonts w:ascii="仿宋_GB2312" w:hAnsi="楷体" w:eastAsia="仿宋_GB2312" w:cs="楷体"/>
                <w:color w:val="000000"/>
                <w:kern w:val="0"/>
                <w:sz w:val="24"/>
              </w:rPr>
            </w:pPr>
          </w:p>
        </w:tc>
        <w:tc>
          <w:tcPr>
            <w:tcW w:w="2296" w:type="dxa"/>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一般成员</w:t>
            </w:r>
          </w:p>
        </w:tc>
        <w:tc>
          <w:tcPr>
            <w:tcW w:w="851"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290" w:type="dxa"/>
            <w:vMerge w:val="continue"/>
            <w:vAlign w:val="center"/>
          </w:tcPr>
          <w:p>
            <w:pPr>
              <w:widowControl/>
              <w:spacing w:line="360" w:lineRule="auto"/>
              <w:jc w:val="left"/>
              <w:rPr>
                <w:rFonts w:ascii="仿宋_GB2312" w:hAnsi="楷体" w:eastAsia="仿宋_GB2312"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3</w:t>
            </w:r>
          </w:p>
        </w:tc>
        <w:tc>
          <w:tcPr>
            <w:tcW w:w="2665" w:type="dxa"/>
            <w:vMerge w:val="restart"/>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外观设计专利</w:t>
            </w:r>
            <w:r>
              <w:rPr>
                <w:rFonts w:hint="eastAsia" w:ascii="仿宋_GB2312" w:hAnsi="宋体" w:eastAsia="仿宋_GB2312" w:cs="宋体"/>
                <w:color w:val="000000"/>
                <w:kern w:val="0"/>
                <w:sz w:val="24"/>
              </w:rPr>
              <w:t> </w:t>
            </w:r>
          </w:p>
        </w:tc>
        <w:tc>
          <w:tcPr>
            <w:tcW w:w="2296" w:type="dxa"/>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第一专利权人</w:t>
            </w:r>
          </w:p>
        </w:tc>
        <w:tc>
          <w:tcPr>
            <w:tcW w:w="851"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2290" w:type="dxa"/>
            <w:vMerge w:val="restart"/>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提交专利授权证书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widowControl/>
              <w:spacing w:line="360" w:lineRule="auto"/>
              <w:jc w:val="left"/>
              <w:rPr>
                <w:rFonts w:ascii="仿宋_GB2312" w:hAnsi="楷体" w:eastAsia="仿宋_GB2312" w:cs="楷体"/>
                <w:color w:val="000000"/>
                <w:kern w:val="0"/>
                <w:sz w:val="24"/>
              </w:rPr>
            </w:pPr>
          </w:p>
        </w:tc>
        <w:tc>
          <w:tcPr>
            <w:tcW w:w="2665" w:type="dxa"/>
            <w:vMerge w:val="continue"/>
            <w:vAlign w:val="center"/>
          </w:tcPr>
          <w:p>
            <w:pPr>
              <w:widowControl/>
              <w:spacing w:line="360" w:lineRule="auto"/>
              <w:jc w:val="left"/>
              <w:rPr>
                <w:rFonts w:ascii="仿宋_GB2312" w:hAnsi="楷体" w:eastAsia="仿宋_GB2312" w:cs="楷体"/>
                <w:color w:val="000000"/>
                <w:kern w:val="0"/>
                <w:sz w:val="24"/>
              </w:rPr>
            </w:pPr>
          </w:p>
        </w:tc>
        <w:tc>
          <w:tcPr>
            <w:tcW w:w="2296" w:type="dxa"/>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一般成员</w:t>
            </w:r>
          </w:p>
        </w:tc>
        <w:tc>
          <w:tcPr>
            <w:tcW w:w="851"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290" w:type="dxa"/>
            <w:vMerge w:val="continue"/>
            <w:vAlign w:val="center"/>
          </w:tcPr>
          <w:p>
            <w:pPr>
              <w:widowControl/>
              <w:spacing w:line="360" w:lineRule="auto"/>
              <w:jc w:val="left"/>
              <w:rPr>
                <w:rFonts w:ascii="仿宋_GB2312" w:hAnsi="楷体" w:eastAsia="仿宋_GB2312"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4</w:t>
            </w:r>
          </w:p>
        </w:tc>
        <w:tc>
          <w:tcPr>
            <w:tcW w:w="2665" w:type="dxa"/>
            <w:vMerge w:val="restart"/>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成果推广应用</w:t>
            </w:r>
          </w:p>
        </w:tc>
        <w:tc>
          <w:tcPr>
            <w:tcW w:w="2296" w:type="dxa"/>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第一专利权人</w:t>
            </w:r>
          </w:p>
        </w:tc>
        <w:tc>
          <w:tcPr>
            <w:tcW w:w="851"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2290" w:type="dxa"/>
            <w:vMerge w:val="restart"/>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成果推广应用报告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59" w:type="dxa"/>
            <w:vMerge w:val="continue"/>
          </w:tcPr>
          <w:p>
            <w:pPr>
              <w:widowControl/>
              <w:wordWrap w:val="0"/>
              <w:spacing w:line="432" w:lineRule="auto"/>
              <w:jc w:val="left"/>
              <w:rPr>
                <w:rFonts w:ascii="黑体" w:hAnsi="黑体" w:eastAsia="黑体" w:cs="黑体"/>
                <w:color w:val="000000"/>
                <w:sz w:val="32"/>
                <w:szCs w:val="32"/>
              </w:rPr>
            </w:pPr>
          </w:p>
        </w:tc>
        <w:tc>
          <w:tcPr>
            <w:tcW w:w="2665" w:type="dxa"/>
            <w:vMerge w:val="continue"/>
          </w:tcPr>
          <w:p>
            <w:pPr>
              <w:widowControl/>
              <w:wordWrap w:val="0"/>
              <w:spacing w:line="432" w:lineRule="auto"/>
              <w:jc w:val="left"/>
              <w:rPr>
                <w:rFonts w:ascii="仿宋_GB2312" w:hAnsi="黑体" w:eastAsia="仿宋_GB2312" w:cs="黑体"/>
                <w:color w:val="000000"/>
                <w:sz w:val="32"/>
                <w:szCs w:val="32"/>
              </w:rPr>
            </w:pPr>
          </w:p>
        </w:tc>
        <w:tc>
          <w:tcPr>
            <w:tcW w:w="2296" w:type="dxa"/>
            <w:vAlign w:val="center"/>
          </w:tcPr>
          <w:p>
            <w:pPr>
              <w:widowControl/>
              <w:wordWrap w:val="0"/>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一般成员</w:t>
            </w:r>
          </w:p>
        </w:tc>
        <w:tc>
          <w:tcPr>
            <w:tcW w:w="851"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color w:val="000000"/>
                <w:kern w:val="0"/>
                <w:sz w:val="24"/>
              </w:rPr>
              <w:t>1</w:t>
            </w:r>
          </w:p>
        </w:tc>
        <w:tc>
          <w:tcPr>
            <w:tcW w:w="2290" w:type="dxa"/>
            <w:vMerge w:val="continue"/>
          </w:tcPr>
          <w:p>
            <w:pPr>
              <w:widowControl/>
              <w:wordWrap w:val="0"/>
              <w:spacing w:line="432" w:lineRule="auto"/>
              <w:jc w:val="left"/>
              <w:rPr>
                <w:rFonts w:ascii="黑体" w:hAnsi="黑体" w:eastAsia="黑体" w:cs="黑体"/>
                <w:color w:val="000000"/>
                <w:sz w:val="32"/>
                <w:szCs w:val="32"/>
              </w:rPr>
            </w:pPr>
          </w:p>
        </w:tc>
      </w:tr>
    </w:tbl>
    <w:p>
      <w:pPr>
        <w:widowControl/>
        <w:wordWrap w:val="0"/>
        <w:spacing w:line="432" w:lineRule="auto"/>
        <w:ind w:firstLine="640" w:firstLineChars="200"/>
        <w:jc w:val="left"/>
        <w:rPr>
          <w:rFonts w:ascii="黑体" w:hAnsi="黑体" w:eastAsia="黑体" w:cs="黑体"/>
          <w:bCs/>
          <w:color w:val="000000"/>
          <w:sz w:val="32"/>
          <w:szCs w:val="32"/>
        </w:rPr>
      </w:pPr>
    </w:p>
    <w:p>
      <w:pPr>
        <w:widowControl/>
        <w:wordWrap w:val="0"/>
        <w:spacing w:line="432" w:lineRule="auto"/>
        <w:ind w:firstLine="640" w:firstLineChars="200"/>
        <w:jc w:val="left"/>
        <w:rPr>
          <w:rFonts w:ascii="黑体" w:hAnsi="黑体" w:eastAsia="黑体" w:cs="黑体"/>
          <w:color w:val="000000"/>
          <w:sz w:val="32"/>
          <w:szCs w:val="32"/>
        </w:rPr>
      </w:pPr>
      <w:r>
        <w:rPr>
          <w:rFonts w:hint="eastAsia" w:ascii="黑体" w:hAnsi="黑体" w:eastAsia="黑体" w:cs="黑体"/>
          <w:bCs/>
          <w:color w:val="000000"/>
          <w:sz w:val="32"/>
          <w:szCs w:val="32"/>
        </w:rPr>
        <w:t>五、自主创业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327"/>
        <w:gridCol w:w="1840"/>
        <w:gridCol w:w="1498"/>
        <w:gridCol w:w="805"/>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83" w:type="dxa"/>
            <w:vAlign w:val="center"/>
          </w:tcPr>
          <w:p>
            <w:pPr>
              <w:widowControl/>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序号</w:t>
            </w:r>
          </w:p>
        </w:tc>
        <w:tc>
          <w:tcPr>
            <w:tcW w:w="1327" w:type="dxa"/>
            <w:vAlign w:val="center"/>
          </w:tcPr>
          <w:p>
            <w:pPr>
              <w:widowControl/>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项目</w:t>
            </w:r>
          </w:p>
        </w:tc>
        <w:tc>
          <w:tcPr>
            <w:tcW w:w="1840" w:type="dxa"/>
            <w:vAlign w:val="center"/>
          </w:tcPr>
          <w:p>
            <w:pPr>
              <w:widowControl/>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条件</w:t>
            </w:r>
          </w:p>
        </w:tc>
        <w:tc>
          <w:tcPr>
            <w:tcW w:w="1498" w:type="dxa"/>
            <w:vAlign w:val="center"/>
          </w:tcPr>
          <w:p>
            <w:pPr>
              <w:widowControl/>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标准</w:t>
            </w:r>
          </w:p>
        </w:tc>
        <w:tc>
          <w:tcPr>
            <w:tcW w:w="805" w:type="dxa"/>
            <w:vAlign w:val="center"/>
          </w:tcPr>
          <w:p>
            <w:pPr>
              <w:widowControl/>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学分</w:t>
            </w:r>
          </w:p>
        </w:tc>
        <w:tc>
          <w:tcPr>
            <w:tcW w:w="2269" w:type="dxa"/>
            <w:vAlign w:val="center"/>
          </w:tcPr>
          <w:p>
            <w:pPr>
              <w:widowControl/>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83" w:type="dxa"/>
            <w:vMerge w:val="restart"/>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1327" w:type="dxa"/>
            <w:vMerge w:val="restart"/>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大学生创业训练项目</w:t>
            </w:r>
          </w:p>
        </w:tc>
        <w:tc>
          <w:tcPr>
            <w:tcW w:w="1840" w:type="dxa"/>
            <w:vMerge w:val="restart"/>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学校或主管教学部门批准的创业训练项目</w:t>
            </w:r>
          </w:p>
        </w:tc>
        <w:tc>
          <w:tcPr>
            <w:tcW w:w="1498"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结题（国家级）</w:t>
            </w:r>
          </w:p>
        </w:tc>
        <w:tc>
          <w:tcPr>
            <w:tcW w:w="805" w:type="dxa"/>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2269"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负责人2分，成员1分。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83" w:type="dxa"/>
            <w:vMerge w:val="continue"/>
            <w:vAlign w:val="center"/>
          </w:tcPr>
          <w:p>
            <w:pPr>
              <w:widowControl/>
              <w:jc w:val="center"/>
              <w:rPr>
                <w:rFonts w:ascii="仿宋_GB2312" w:hAnsi="楷体" w:eastAsia="仿宋_GB2312" w:cs="楷体"/>
                <w:color w:val="000000"/>
                <w:kern w:val="0"/>
                <w:sz w:val="24"/>
              </w:rPr>
            </w:pPr>
          </w:p>
        </w:tc>
        <w:tc>
          <w:tcPr>
            <w:tcW w:w="1327" w:type="dxa"/>
            <w:vMerge w:val="continue"/>
            <w:vAlign w:val="center"/>
          </w:tcPr>
          <w:p>
            <w:pPr>
              <w:widowControl/>
              <w:wordWrap w:val="0"/>
              <w:jc w:val="center"/>
              <w:rPr>
                <w:rFonts w:ascii="仿宋_GB2312" w:hAnsi="黑体" w:eastAsia="仿宋_GB2312" w:cs="黑体"/>
                <w:color w:val="000000"/>
                <w:sz w:val="32"/>
                <w:szCs w:val="32"/>
              </w:rPr>
            </w:pPr>
          </w:p>
        </w:tc>
        <w:tc>
          <w:tcPr>
            <w:tcW w:w="1840" w:type="dxa"/>
            <w:vMerge w:val="continue"/>
            <w:vAlign w:val="center"/>
          </w:tcPr>
          <w:p>
            <w:pPr>
              <w:widowControl/>
              <w:wordWrap w:val="0"/>
              <w:jc w:val="center"/>
              <w:rPr>
                <w:rFonts w:ascii="仿宋_GB2312" w:hAnsi="黑体" w:eastAsia="仿宋_GB2312" w:cs="黑体"/>
                <w:color w:val="000000"/>
                <w:sz w:val="32"/>
                <w:szCs w:val="32"/>
              </w:rPr>
            </w:pPr>
          </w:p>
        </w:tc>
        <w:tc>
          <w:tcPr>
            <w:tcW w:w="1498"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结题（省级）</w:t>
            </w:r>
          </w:p>
        </w:tc>
        <w:tc>
          <w:tcPr>
            <w:tcW w:w="805" w:type="dxa"/>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1.5</w:t>
            </w:r>
          </w:p>
        </w:tc>
        <w:tc>
          <w:tcPr>
            <w:tcW w:w="2269"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负责人1分，成员0.5分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83" w:type="dxa"/>
            <w:vMerge w:val="continue"/>
            <w:vAlign w:val="center"/>
          </w:tcPr>
          <w:p>
            <w:pPr>
              <w:widowControl/>
              <w:jc w:val="center"/>
              <w:rPr>
                <w:rFonts w:ascii="仿宋_GB2312" w:hAnsi="楷体" w:eastAsia="仿宋_GB2312" w:cs="楷体"/>
                <w:color w:val="000000"/>
                <w:kern w:val="0"/>
                <w:sz w:val="24"/>
              </w:rPr>
            </w:pPr>
          </w:p>
        </w:tc>
        <w:tc>
          <w:tcPr>
            <w:tcW w:w="1327" w:type="dxa"/>
            <w:vMerge w:val="continue"/>
            <w:vAlign w:val="center"/>
          </w:tcPr>
          <w:p>
            <w:pPr>
              <w:widowControl/>
              <w:wordWrap w:val="0"/>
              <w:jc w:val="center"/>
              <w:rPr>
                <w:rFonts w:ascii="仿宋_GB2312" w:hAnsi="黑体" w:eastAsia="仿宋_GB2312" w:cs="黑体"/>
                <w:color w:val="000000"/>
                <w:sz w:val="32"/>
                <w:szCs w:val="32"/>
              </w:rPr>
            </w:pPr>
          </w:p>
        </w:tc>
        <w:tc>
          <w:tcPr>
            <w:tcW w:w="1840" w:type="dxa"/>
            <w:vMerge w:val="continue"/>
            <w:vAlign w:val="center"/>
          </w:tcPr>
          <w:p>
            <w:pPr>
              <w:widowControl/>
              <w:wordWrap w:val="0"/>
              <w:jc w:val="center"/>
              <w:rPr>
                <w:rFonts w:ascii="仿宋_GB2312" w:hAnsi="黑体" w:eastAsia="仿宋_GB2312" w:cs="黑体"/>
                <w:color w:val="000000"/>
                <w:sz w:val="32"/>
                <w:szCs w:val="32"/>
              </w:rPr>
            </w:pPr>
          </w:p>
        </w:tc>
        <w:tc>
          <w:tcPr>
            <w:tcW w:w="1498"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结题（校级）</w:t>
            </w:r>
          </w:p>
        </w:tc>
        <w:tc>
          <w:tcPr>
            <w:tcW w:w="805" w:type="dxa"/>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269"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负责人0.5分，成员0.2分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83" w:type="dxa"/>
            <w:vMerge w:val="restart"/>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1327" w:type="dxa"/>
            <w:vMerge w:val="restart"/>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大学生创业实践项目</w:t>
            </w:r>
          </w:p>
        </w:tc>
        <w:tc>
          <w:tcPr>
            <w:tcW w:w="1840" w:type="dxa"/>
            <w:vMerge w:val="restart"/>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学校或主管教学部门批准的创业实践项目</w:t>
            </w:r>
          </w:p>
        </w:tc>
        <w:tc>
          <w:tcPr>
            <w:tcW w:w="1498"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结题（国家级）</w:t>
            </w:r>
          </w:p>
        </w:tc>
        <w:tc>
          <w:tcPr>
            <w:tcW w:w="805" w:type="dxa"/>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2269"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负责人2分，成员1分。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83" w:type="dxa"/>
            <w:vMerge w:val="continue"/>
            <w:vAlign w:val="center"/>
          </w:tcPr>
          <w:p>
            <w:pPr>
              <w:widowControl/>
              <w:jc w:val="center"/>
              <w:rPr>
                <w:rFonts w:ascii="仿宋_GB2312" w:hAnsi="楷体" w:eastAsia="仿宋_GB2312" w:cs="楷体"/>
                <w:color w:val="000000"/>
                <w:kern w:val="0"/>
                <w:sz w:val="24"/>
              </w:rPr>
            </w:pPr>
          </w:p>
        </w:tc>
        <w:tc>
          <w:tcPr>
            <w:tcW w:w="1327" w:type="dxa"/>
            <w:vMerge w:val="continue"/>
            <w:vAlign w:val="center"/>
          </w:tcPr>
          <w:p>
            <w:pPr>
              <w:widowControl/>
              <w:wordWrap w:val="0"/>
              <w:spacing w:line="432" w:lineRule="auto"/>
              <w:jc w:val="center"/>
              <w:rPr>
                <w:rFonts w:ascii="仿宋_GB2312" w:hAnsi="黑体" w:eastAsia="仿宋_GB2312" w:cs="黑体"/>
                <w:color w:val="000000"/>
                <w:sz w:val="32"/>
                <w:szCs w:val="32"/>
              </w:rPr>
            </w:pPr>
          </w:p>
        </w:tc>
        <w:tc>
          <w:tcPr>
            <w:tcW w:w="1840" w:type="dxa"/>
            <w:vMerge w:val="continue"/>
            <w:vAlign w:val="center"/>
          </w:tcPr>
          <w:p>
            <w:pPr>
              <w:widowControl/>
              <w:wordWrap w:val="0"/>
              <w:spacing w:line="432" w:lineRule="auto"/>
              <w:jc w:val="center"/>
              <w:rPr>
                <w:rFonts w:ascii="仿宋_GB2312" w:hAnsi="黑体" w:eastAsia="仿宋_GB2312" w:cs="黑体"/>
                <w:color w:val="000000"/>
                <w:sz w:val="32"/>
                <w:szCs w:val="32"/>
              </w:rPr>
            </w:pPr>
          </w:p>
        </w:tc>
        <w:tc>
          <w:tcPr>
            <w:tcW w:w="1498"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结题（省级）</w:t>
            </w:r>
          </w:p>
        </w:tc>
        <w:tc>
          <w:tcPr>
            <w:tcW w:w="805" w:type="dxa"/>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1.5</w:t>
            </w:r>
          </w:p>
        </w:tc>
        <w:tc>
          <w:tcPr>
            <w:tcW w:w="2269"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负责人1分，成员0.5分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83" w:type="dxa"/>
            <w:vMerge w:val="continue"/>
            <w:vAlign w:val="center"/>
          </w:tcPr>
          <w:p>
            <w:pPr>
              <w:widowControl/>
              <w:jc w:val="center"/>
              <w:rPr>
                <w:rFonts w:ascii="仿宋_GB2312" w:hAnsi="楷体" w:eastAsia="仿宋_GB2312" w:cs="楷体"/>
                <w:color w:val="000000"/>
                <w:kern w:val="0"/>
                <w:sz w:val="24"/>
              </w:rPr>
            </w:pPr>
          </w:p>
        </w:tc>
        <w:tc>
          <w:tcPr>
            <w:tcW w:w="1327" w:type="dxa"/>
            <w:vMerge w:val="continue"/>
            <w:vAlign w:val="center"/>
          </w:tcPr>
          <w:p>
            <w:pPr>
              <w:widowControl/>
              <w:wordWrap w:val="0"/>
              <w:spacing w:line="432" w:lineRule="auto"/>
              <w:jc w:val="center"/>
              <w:rPr>
                <w:rFonts w:ascii="仿宋_GB2312" w:hAnsi="黑体" w:eastAsia="仿宋_GB2312" w:cs="黑体"/>
                <w:color w:val="000000"/>
                <w:sz w:val="32"/>
                <w:szCs w:val="32"/>
              </w:rPr>
            </w:pPr>
          </w:p>
        </w:tc>
        <w:tc>
          <w:tcPr>
            <w:tcW w:w="1840" w:type="dxa"/>
            <w:vMerge w:val="continue"/>
            <w:vAlign w:val="center"/>
          </w:tcPr>
          <w:p>
            <w:pPr>
              <w:widowControl/>
              <w:wordWrap w:val="0"/>
              <w:spacing w:line="432" w:lineRule="auto"/>
              <w:jc w:val="center"/>
              <w:rPr>
                <w:rFonts w:ascii="仿宋_GB2312" w:hAnsi="黑体" w:eastAsia="仿宋_GB2312" w:cs="黑体"/>
                <w:color w:val="000000"/>
                <w:sz w:val="32"/>
                <w:szCs w:val="32"/>
              </w:rPr>
            </w:pPr>
          </w:p>
        </w:tc>
        <w:tc>
          <w:tcPr>
            <w:tcW w:w="1498"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结题（校级）</w:t>
            </w:r>
          </w:p>
        </w:tc>
        <w:tc>
          <w:tcPr>
            <w:tcW w:w="805" w:type="dxa"/>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269"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负责人0.5分，成员0.2分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83" w:type="dxa"/>
            <w:vMerge w:val="restart"/>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3</w:t>
            </w:r>
          </w:p>
        </w:tc>
        <w:tc>
          <w:tcPr>
            <w:tcW w:w="1327" w:type="dxa"/>
            <w:vMerge w:val="restart"/>
            <w:vAlign w:val="center"/>
          </w:tcPr>
          <w:p>
            <w:pPr>
              <w:widowControl/>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模拟市场</w:t>
            </w:r>
          </w:p>
        </w:tc>
        <w:tc>
          <w:tcPr>
            <w:tcW w:w="1840" w:type="dxa"/>
            <w:vMerge w:val="restart"/>
            <w:vAlign w:val="center"/>
          </w:tcPr>
          <w:p>
            <w:pPr>
              <w:widowControl/>
              <w:spacing w:line="360" w:lineRule="auto"/>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竞标成功者</w:t>
            </w:r>
          </w:p>
        </w:tc>
        <w:tc>
          <w:tcPr>
            <w:tcW w:w="1498"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优秀创业</w:t>
            </w:r>
          </w:p>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模拟团队</w:t>
            </w:r>
          </w:p>
        </w:tc>
        <w:tc>
          <w:tcPr>
            <w:tcW w:w="805" w:type="dxa"/>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0.5</w:t>
            </w:r>
          </w:p>
        </w:tc>
        <w:tc>
          <w:tcPr>
            <w:tcW w:w="2269"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负责人0.5分，成员0.2分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83" w:type="dxa"/>
            <w:vMerge w:val="continue"/>
          </w:tcPr>
          <w:p>
            <w:pPr>
              <w:widowControl/>
              <w:wordWrap w:val="0"/>
              <w:spacing w:line="432" w:lineRule="auto"/>
              <w:jc w:val="left"/>
              <w:rPr>
                <w:rFonts w:ascii="仿宋_GB2312" w:hAnsi="黑体" w:eastAsia="仿宋_GB2312" w:cs="黑体"/>
                <w:color w:val="000000"/>
                <w:sz w:val="32"/>
                <w:szCs w:val="32"/>
              </w:rPr>
            </w:pPr>
          </w:p>
        </w:tc>
        <w:tc>
          <w:tcPr>
            <w:tcW w:w="1327" w:type="dxa"/>
            <w:vMerge w:val="continue"/>
            <w:vAlign w:val="center"/>
          </w:tcPr>
          <w:p>
            <w:pPr>
              <w:widowControl/>
              <w:wordWrap w:val="0"/>
              <w:spacing w:line="432" w:lineRule="auto"/>
              <w:jc w:val="left"/>
              <w:rPr>
                <w:rFonts w:ascii="仿宋_GB2312" w:hAnsi="黑体" w:eastAsia="仿宋_GB2312" w:cs="黑体"/>
                <w:color w:val="000000"/>
                <w:sz w:val="32"/>
                <w:szCs w:val="32"/>
              </w:rPr>
            </w:pPr>
          </w:p>
        </w:tc>
        <w:tc>
          <w:tcPr>
            <w:tcW w:w="1840" w:type="dxa"/>
            <w:vMerge w:val="continue"/>
            <w:vAlign w:val="center"/>
          </w:tcPr>
          <w:p>
            <w:pPr>
              <w:widowControl/>
              <w:wordWrap w:val="0"/>
              <w:spacing w:line="432" w:lineRule="auto"/>
              <w:jc w:val="left"/>
              <w:rPr>
                <w:rFonts w:ascii="仿宋_GB2312" w:hAnsi="黑体" w:eastAsia="仿宋_GB2312" w:cs="黑体"/>
                <w:color w:val="000000"/>
                <w:sz w:val="32"/>
                <w:szCs w:val="32"/>
              </w:rPr>
            </w:pPr>
          </w:p>
        </w:tc>
        <w:tc>
          <w:tcPr>
            <w:tcW w:w="1498"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其他</w:t>
            </w:r>
          </w:p>
        </w:tc>
        <w:tc>
          <w:tcPr>
            <w:tcW w:w="805" w:type="dxa"/>
            <w:vAlign w:val="center"/>
          </w:tcPr>
          <w:p>
            <w:pPr>
              <w:widowControl/>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0.3</w:t>
            </w:r>
          </w:p>
        </w:tc>
        <w:tc>
          <w:tcPr>
            <w:tcW w:w="2269" w:type="dxa"/>
            <w:vAlign w:val="center"/>
          </w:tcPr>
          <w:p>
            <w:pPr>
              <w:widowControl/>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负责人0.3分，成员0.1分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3" w:type="dxa"/>
            <w:vAlign w:val="center"/>
          </w:tcPr>
          <w:p>
            <w:pPr>
              <w:widowControl/>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4</w:t>
            </w:r>
          </w:p>
        </w:tc>
        <w:tc>
          <w:tcPr>
            <w:tcW w:w="1327" w:type="dxa"/>
            <w:vAlign w:val="center"/>
          </w:tcPr>
          <w:p>
            <w:pPr>
              <w:widowControl/>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创业竞赛</w:t>
            </w:r>
          </w:p>
        </w:tc>
        <w:tc>
          <w:tcPr>
            <w:tcW w:w="6412" w:type="dxa"/>
            <w:gridSpan w:val="4"/>
            <w:vAlign w:val="center"/>
          </w:tcPr>
          <w:p>
            <w:pPr>
              <w:widowControl/>
              <w:jc w:val="left"/>
              <w:rPr>
                <w:rFonts w:ascii="楷体" w:hAnsi="楷体" w:eastAsia="楷体" w:cs="楷体"/>
                <w:color w:val="000000"/>
                <w:kern w:val="0"/>
                <w:sz w:val="24"/>
              </w:rPr>
            </w:pPr>
            <w:r>
              <w:rPr>
                <w:rFonts w:hint="eastAsia" w:ascii="仿宋_GB2312" w:hAnsi="Verdana" w:eastAsia="仿宋_GB2312" w:cs="宋体"/>
                <w:color w:val="000000"/>
                <w:kern w:val="0"/>
                <w:sz w:val="24"/>
              </w:rPr>
              <w:t>参照学科科技文体竞赛获奖给予认定学分</w:t>
            </w:r>
          </w:p>
        </w:tc>
      </w:tr>
    </w:tbl>
    <w:p>
      <w:pPr>
        <w:widowControl/>
        <w:wordWrap w:val="0"/>
        <w:spacing w:line="432" w:lineRule="auto"/>
        <w:ind w:firstLine="640" w:firstLineChars="200"/>
        <w:jc w:val="left"/>
        <w:rPr>
          <w:rFonts w:ascii="黑体" w:hAnsi="黑体" w:eastAsia="黑体" w:cs="黑体"/>
          <w:color w:val="000000"/>
          <w:sz w:val="32"/>
          <w:szCs w:val="32"/>
        </w:rPr>
      </w:pPr>
    </w:p>
    <w:p>
      <w:pPr>
        <w:widowControl/>
        <w:wordWrap w:val="0"/>
        <w:spacing w:line="432" w:lineRule="auto"/>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六、职业资格证和职业技能等级证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4353"/>
        <w:gridCol w:w="82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序号</w:t>
            </w:r>
          </w:p>
        </w:tc>
        <w:tc>
          <w:tcPr>
            <w:tcW w:w="4678"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项目及标准</w:t>
            </w:r>
          </w:p>
        </w:tc>
        <w:tc>
          <w:tcPr>
            <w:tcW w:w="850"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学分</w:t>
            </w:r>
          </w:p>
        </w:tc>
        <w:tc>
          <w:tcPr>
            <w:tcW w:w="2716"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17"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1</w:t>
            </w:r>
          </w:p>
        </w:tc>
        <w:tc>
          <w:tcPr>
            <w:tcW w:w="4678"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取得专业指定职业资格证书</w:t>
            </w:r>
          </w:p>
        </w:tc>
        <w:tc>
          <w:tcPr>
            <w:tcW w:w="850"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1</w:t>
            </w:r>
          </w:p>
        </w:tc>
        <w:tc>
          <w:tcPr>
            <w:tcW w:w="2716" w:type="dxa"/>
            <w:vAlign w:val="center"/>
          </w:tcPr>
          <w:p>
            <w:pPr>
              <w:widowControl/>
              <w:wordWrap w:val="0"/>
              <w:jc w:val="left"/>
              <w:rPr>
                <w:rFonts w:ascii="Verdana" w:hAnsi="Verdana" w:cs="宋体"/>
                <w:color w:val="000000"/>
                <w:kern w:val="0"/>
                <w:sz w:val="24"/>
              </w:rPr>
            </w:pPr>
            <w:r>
              <w:rPr>
                <w:rFonts w:hint="eastAsia" w:ascii="仿宋_GB2312" w:hAnsi="Verdana" w:eastAsia="仿宋_GB2312" w:cs="宋体"/>
                <w:color w:val="000000"/>
                <w:kern w:val="0"/>
                <w:sz w:val="24"/>
              </w:rPr>
              <w:t>无论几个证书均只给予一次认定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17"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2</w:t>
            </w:r>
          </w:p>
        </w:tc>
        <w:tc>
          <w:tcPr>
            <w:tcW w:w="4678" w:type="dxa"/>
            <w:vAlign w:val="center"/>
          </w:tcPr>
          <w:p>
            <w:pPr>
              <w:widowControl/>
              <w:wordWrap w:val="0"/>
              <w:jc w:val="left"/>
              <w:rPr>
                <w:rFonts w:ascii="Verdana" w:hAnsi="Verdana" w:cs="宋体"/>
                <w:color w:val="000000"/>
                <w:kern w:val="0"/>
                <w:sz w:val="24"/>
              </w:rPr>
            </w:pPr>
            <w:r>
              <w:rPr>
                <w:rFonts w:hint="eastAsia" w:ascii="仿宋_GB2312" w:hAnsi="Verdana" w:eastAsia="仿宋_GB2312" w:cs="宋体"/>
                <w:color w:val="000000"/>
                <w:kern w:val="0"/>
                <w:sz w:val="24"/>
              </w:rPr>
              <w:t>取得专业范围内比指定职业资格证书技术等级高一级的职业资格证书</w:t>
            </w:r>
          </w:p>
        </w:tc>
        <w:tc>
          <w:tcPr>
            <w:tcW w:w="850"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2</w:t>
            </w:r>
          </w:p>
        </w:tc>
        <w:tc>
          <w:tcPr>
            <w:tcW w:w="2716" w:type="dxa"/>
            <w:vAlign w:val="center"/>
          </w:tcPr>
          <w:p>
            <w:pPr>
              <w:widowControl/>
              <w:wordWrap w:val="0"/>
              <w:jc w:val="left"/>
              <w:rPr>
                <w:rFonts w:ascii="Verdana" w:hAnsi="Verdana" w:cs="宋体"/>
                <w:color w:val="000000"/>
                <w:kern w:val="0"/>
                <w:sz w:val="24"/>
              </w:rPr>
            </w:pPr>
            <w:r>
              <w:rPr>
                <w:rFonts w:hint="eastAsia" w:ascii="仿宋_GB2312" w:hAnsi="Verdana" w:eastAsia="仿宋_GB2312" w:cs="宋体"/>
                <w:color w:val="000000"/>
                <w:kern w:val="0"/>
                <w:sz w:val="24"/>
              </w:rPr>
              <w:t>无论几个证书均只给予一次认定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3</w:t>
            </w:r>
          </w:p>
        </w:tc>
        <w:tc>
          <w:tcPr>
            <w:tcW w:w="4678"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取得跨专业职业资格证书</w:t>
            </w:r>
          </w:p>
        </w:tc>
        <w:tc>
          <w:tcPr>
            <w:tcW w:w="850" w:type="dxa"/>
            <w:vAlign w:val="center"/>
          </w:tcPr>
          <w:p>
            <w:pPr>
              <w:widowControl/>
              <w:wordWrap w:val="0"/>
              <w:spacing w:line="336" w:lineRule="auto"/>
              <w:jc w:val="center"/>
              <w:rPr>
                <w:rFonts w:ascii="Verdana" w:hAnsi="Verdana" w:cs="宋体"/>
                <w:color w:val="000000"/>
                <w:kern w:val="0"/>
                <w:sz w:val="24"/>
              </w:rPr>
            </w:pPr>
            <w:r>
              <w:rPr>
                <w:rFonts w:hint="eastAsia" w:ascii="仿宋_GB2312" w:hAnsi="Verdana" w:eastAsia="仿宋_GB2312" w:cs="宋体"/>
                <w:color w:val="000000"/>
                <w:kern w:val="0"/>
                <w:sz w:val="24"/>
              </w:rPr>
              <w:t>2</w:t>
            </w:r>
          </w:p>
        </w:tc>
        <w:tc>
          <w:tcPr>
            <w:tcW w:w="2716" w:type="dxa"/>
            <w:vAlign w:val="center"/>
          </w:tcPr>
          <w:p>
            <w:pPr>
              <w:widowControl/>
              <w:wordWrap w:val="0"/>
              <w:spacing w:line="336" w:lineRule="auto"/>
              <w:jc w:val="left"/>
              <w:rPr>
                <w:rFonts w:ascii="Verdana" w:hAnsi="Verdana" w:cs="宋体"/>
                <w:color w:val="000000"/>
                <w:kern w:val="0"/>
                <w:sz w:val="24"/>
              </w:rPr>
            </w:pPr>
            <w:r>
              <w:rPr>
                <w:rFonts w:hint="eastAsia" w:ascii="仿宋_GB2312" w:hAnsi="Verdana" w:eastAsia="仿宋_GB2312" w:cs="宋体"/>
                <w:color w:val="000000"/>
                <w:kern w:val="0"/>
                <w:sz w:val="24"/>
              </w:rPr>
              <w:t>提供证书编号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7" w:type="dxa"/>
            <w:vAlign w:val="center"/>
          </w:tcPr>
          <w:p>
            <w:pPr>
              <w:widowControl/>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4</w:t>
            </w:r>
          </w:p>
        </w:tc>
        <w:tc>
          <w:tcPr>
            <w:tcW w:w="4678" w:type="dxa"/>
            <w:vAlign w:val="center"/>
          </w:tcPr>
          <w:p>
            <w:pPr>
              <w:widowControl/>
              <w:wordWrap w:val="0"/>
              <w:jc w:val="left"/>
              <w:rPr>
                <w:rFonts w:ascii="仿宋_GB2312" w:hAnsi="Verdana" w:eastAsia="仿宋_GB2312" w:cs="宋体"/>
                <w:color w:val="000000"/>
                <w:kern w:val="0"/>
                <w:sz w:val="24"/>
              </w:rPr>
            </w:pPr>
            <w:r>
              <w:rPr>
                <w:rFonts w:hint="eastAsia" w:ascii="仿宋_GB2312" w:hAnsi="Verdana" w:eastAsia="仿宋_GB2312" w:cs="宋体"/>
                <w:color w:val="000000"/>
                <w:kern w:val="0"/>
                <w:sz w:val="24"/>
              </w:rPr>
              <w:t>取得职业技能等级证书</w:t>
            </w:r>
          </w:p>
        </w:tc>
        <w:tc>
          <w:tcPr>
            <w:tcW w:w="850" w:type="dxa"/>
            <w:vAlign w:val="center"/>
          </w:tcPr>
          <w:p>
            <w:pPr>
              <w:widowControl/>
              <w:wordWrap w:val="0"/>
              <w:jc w:val="center"/>
              <w:rPr>
                <w:rFonts w:ascii="仿宋_GB2312" w:hAnsi="Verdana" w:eastAsia="仿宋_GB2312" w:cs="宋体"/>
                <w:color w:val="000000"/>
                <w:kern w:val="0"/>
                <w:sz w:val="24"/>
              </w:rPr>
            </w:pPr>
            <w:r>
              <w:rPr>
                <w:rFonts w:hint="eastAsia" w:ascii="仿宋_GB2312" w:hAnsi="Verdana" w:eastAsia="仿宋_GB2312" w:cs="宋体"/>
                <w:color w:val="000000"/>
                <w:kern w:val="0"/>
                <w:sz w:val="24"/>
              </w:rPr>
              <w:t>1/0.5</w:t>
            </w:r>
          </w:p>
        </w:tc>
        <w:tc>
          <w:tcPr>
            <w:tcW w:w="2716" w:type="dxa"/>
            <w:vAlign w:val="center"/>
          </w:tcPr>
          <w:p>
            <w:pPr>
              <w:widowControl/>
              <w:wordWrap w:val="0"/>
              <w:jc w:val="left"/>
              <w:rPr>
                <w:rFonts w:ascii="仿宋_GB2312" w:hAnsi="Verdana" w:eastAsia="仿宋_GB2312" w:cs="宋体"/>
                <w:color w:val="000000"/>
                <w:kern w:val="0"/>
                <w:sz w:val="24"/>
              </w:rPr>
            </w:pPr>
            <w:r>
              <w:rPr>
                <w:rFonts w:hint="eastAsia" w:ascii="仿宋_GB2312" w:hAnsi="Verdana" w:eastAsia="仿宋_GB2312" w:cs="宋体"/>
                <w:color w:val="000000"/>
                <w:kern w:val="0"/>
                <w:sz w:val="24"/>
              </w:rPr>
              <w:t>高级工1分，中级工0.5</w:t>
            </w:r>
          </w:p>
        </w:tc>
      </w:tr>
    </w:tbl>
    <w:p>
      <w:pPr>
        <w:widowControl/>
        <w:wordWrap w:val="0"/>
        <w:spacing w:line="432" w:lineRule="auto"/>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七、社会实践、各类校园活动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4360"/>
        <w:gridCol w:w="819"/>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7" w:type="dxa"/>
            <w:vAlign w:val="center"/>
          </w:tcPr>
          <w:p>
            <w:pPr>
              <w:widowControl/>
              <w:wordWrap w:val="0"/>
              <w:jc w:val="center"/>
              <w:rPr>
                <w:rFonts w:ascii="楷体" w:hAnsi="楷体" w:eastAsia="楷体" w:cs="楷体"/>
                <w:color w:val="000000"/>
                <w:kern w:val="0"/>
                <w:sz w:val="24"/>
              </w:rPr>
            </w:pPr>
            <w:r>
              <w:rPr>
                <w:rFonts w:hint="eastAsia" w:ascii="楷体" w:hAnsi="楷体" w:eastAsia="楷体" w:cs="楷体"/>
                <w:b/>
                <w:bCs/>
                <w:color w:val="000000"/>
                <w:kern w:val="0"/>
                <w:sz w:val="24"/>
              </w:rPr>
              <w:t>序号</w:t>
            </w:r>
          </w:p>
        </w:tc>
        <w:tc>
          <w:tcPr>
            <w:tcW w:w="4678" w:type="dxa"/>
            <w:vAlign w:val="center"/>
          </w:tcPr>
          <w:p>
            <w:pPr>
              <w:widowControl/>
              <w:wordWrap w:val="0"/>
              <w:jc w:val="center"/>
              <w:rPr>
                <w:rFonts w:ascii="楷体" w:hAnsi="楷体" w:eastAsia="楷体" w:cs="楷体"/>
                <w:color w:val="000000"/>
                <w:kern w:val="0"/>
                <w:sz w:val="24"/>
              </w:rPr>
            </w:pPr>
            <w:r>
              <w:rPr>
                <w:rFonts w:hint="eastAsia" w:ascii="楷体" w:hAnsi="楷体" w:eastAsia="楷体" w:cs="楷体"/>
                <w:b/>
                <w:bCs/>
                <w:color w:val="000000"/>
                <w:kern w:val="0"/>
                <w:sz w:val="24"/>
              </w:rPr>
              <w:t>项目及标准</w:t>
            </w:r>
          </w:p>
        </w:tc>
        <w:tc>
          <w:tcPr>
            <w:tcW w:w="850" w:type="dxa"/>
            <w:vAlign w:val="center"/>
          </w:tcPr>
          <w:p>
            <w:pPr>
              <w:widowControl/>
              <w:wordWrap w:val="0"/>
              <w:jc w:val="center"/>
              <w:rPr>
                <w:rFonts w:ascii="楷体" w:hAnsi="楷体" w:eastAsia="楷体" w:cs="楷体"/>
                <w:color w:val="000000"/>
                <w:kern w:val="0"/>
                <w:sz w:val="24"/>
              </w:rPr>
            </w:pPr>
            <w:r>
              <w:rPr>
                <w:rFonts w:hint="eastAsia" w:ascii="楷体" w:hAnsi="楷体" w:eastAsia="楷体" w:cs="楷体"/>
                <w:b/>
                <w:bCs/>
                <w:color w:val="000000"/>
                <w:kern w:val="0"/>
                <w:sz w:val="24"/>
              </w:rPr>
              <w:t>学分</w:t>
            </w:r>
          </w:p>
        </w:tc>
        <w:tc>
          <w:tcPr>
            <w:tcW w:w="2716" w:type="dxa"/>
            <w:vAlign w:val="center"/>
          </w:tcPr>
          <w:p>
            <w:pPr>
              <w:widowControl/>
              <w:wordWrap w:val="0"/>
              <w:jc w:val="center"/>
              <w:rPr>
                <w:rFonts w:ascii="楷体" w:hAnsi="楷体" w:eastAsia="楷体" w:cs="楷体"/>
                <w:color w:val="000000"/>
                <w:kern w:val="0"/>
                <w:sz w:val="24"/>
              </w:rPr>
            </w:pPr>
            <w:r>
              <w:rPr>
                <w:rFonts w:hint="eastAsia" w:ascii="楷体" w:hAnsi="楷体" w:eastAsia="楷体" w:cs="楷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17"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4678"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获得全国社会实践优秀团队、先进个人</w:t>
            </w:r>
          </w:p>
        </w:tc>
        <w:tc>
          <w:tcPr>
            <w:tcW w:w="850"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2716"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提供获奖证书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4678"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获得省级社会实践优秀团队、先进个人</w:t>
            </w:r>
          </w:p>
        </w:tc>
        <w:tc>
          <w:tcPr>
            <w:tcW w:w="850"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1.5</w:t>
            </w:r>
          </w:p>
        </w:tc>
        <w:tc>
          <w:tcPr>
            <w:tcW w:w="2716"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提供获奖证书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3</w:t>
            </w:r>
          </w:p>
        </w:tc>
        <w:tc>
          <w:tcPr>
            <w:tcW w:w="4678"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获得市级社会实践优秀团队、先进个人</w:t>
            </w:r>
          </w:p>
        </w:tc>
        <w:tc>
          <w:tcPr>
            <w:tcW w:w="850"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716"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提供获奖证书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7"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4</w:t>
            </w:r>
          </w:p>
        </w:tc>
        <w:tc>
          <w:tcPr>
            <w:tcW w:w="4678"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获得校级社会实践优秀团队、先进个人</w:t>
            </w:r>
          </w:p>
        </w:tc>
        <w:tc>
          <w:tcPr>
            <w:tcW w:w="850"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716"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提供获奖证书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5</w:t>
            </w:r>
          </w:p>
        </w:tc>
        <w:tc>
          <w:tcPr>
            <w:tcW w:w="4678"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参加社会实践活动，提交社会调查报告，并通过考核</w:t>
            </w:r>
          </w:p>
        </w:tc>
        <w:tc>
          <w:tcPr>
            <w:tcW w:w="850"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716"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提供调查报告，每份不少于1500字，院系认定合格结果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17"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6</w:t>
            </w:r>
          </w:p>
        </w:tc>
        <w:tc>
          <w:tcPr>
            <w:tcW w:w="4678"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参加志愿服务连续一年以上，累计时间不少于10小时</w:t>
            </w:r>
          </w:p>
        </w:tc>
        <w:tc>
          <w:tcPr>
            <w:tcW w:w="850"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2716"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提供志愿服务记录卡或相关证明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17"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7</w:t>
            </w:r>
          </w:p>
        </w:tc>
        <w:tc>
          <w:tcPr>
            <w:tcW w:w="4678"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担任学生自治组织（团委、学生会、社团及协会组织）干部，一年及以上且被评为优秀干部者</w:t>
            </w:r>
          </w:p>
        </w:tc>
        <w:tc>
          <w:tcPr>
            <w:tcW w:w="850"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716" w:type="dxa"/>
            <w:vAlign w:val="center"/>
          </w:tcPr>
          <w:p>
            <w:pPr>
              <w:widowControl/>
              <w:wordWrap w:val="0"/>
              <w:jc w:val="left"/>
              <w:rPr>
                <w:rFonts w:ascii="仿宋_GB2312" w:hAnsi="楷体" w:eastAsia="仿宋_GB2312" w:cs="楷体"/>
                <w:color w:val="000000"/>
                <w:kern w:val="0"/>
                <w:sz w:val="24"/>
              </w:rPr>
            </w:pPr>
            <w:r>
              <w:rPr>
                <w:rFonts w:hint="eastAsia" w:ascii="仿宋_GB2312" w:hAnsi="宋体" w:eastAsia="仿宋_GB2312" w:cs="宋体"/>
                <w:color w:val="000000"/>
                <w:kern w:val="0"/>
                <w:sz w:val="24"/>
              </w:rPr>
              <w:t> </w:t>
            </w:r>
            <w:r>
              <w:rPr>
                <w:rFonts w:hint="eastAsia" w:ascii="仿宋_GB2312" w:hAnsi="楷体" w:eastAsia="仿宋_GB2312" w:cs="楷体"/>
                <w:color w:val="000000"/>
                <w:kern w:val="0"/>
                <w:sz w:val="24"/>
              </w:rPr>
              <w:t>部门兼任者不累积学分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17"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8</w:t>
            </w:r>
          </w:p>
        </w:tc>
        <w:tc>
          <w:tcPr>
            <w:tcW w:w="4678" w:type="dxa"/>
            <w:vAlign w:val="center"/>
          </w:tcPr>
          <w:p>
            <w:pPr>
              <w:pStyle w:val="2"/>
              <w:rPr>
                <w:rFonts w:ascii="仿宋_GB2312" w:hAnsi="楷体" w:eastAsia="仿宋_GB2312" w:cs="楷体"/>
                <w:color w:val="000000"/>
                <w:kern w:val="0"/>
                <w:sz w:val="24"/>
              </w:rPr>
            </w:pPr>
            <w:r>
              <w:rPr>
                <w:rFonts w:hint="eastAsia" w:ascii="仿宋_GB2312" w:hAnsi="楷体" w:eastAsia="仿宋_GB2312" w:cs="楷体"/>
                <w:color w:val="000000"/>
                <w:kern w:val="0"/>
                <w:sz w:val="24"/>
              </w:rPr>
              <w:t>主要记载参与文艺、体育、人文素养、知识竞赛、辩论赛、演讲比赛、征文比赛等各级各类校园文化活动的经历，以及获得的相关荣誉。</w:t>
            </w:r>
          </w:p>
        </w:tc>
        <w:tc>
          <w:tcPr>
            <w:tcW w:w="850" w:type="dxa"/>
            <w:vAlign w:val="center"/>
          </w:tcPr>
          <w:p>
            <w:pPr>
              <w:widowControl/>
              <w:wordWrap w:val="0"/>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2716"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提供相关证明或证书</w:t>
            </w:r>
          </w:p>
        </w:tc>
      </w:tr>
    </w:tbl>
    <w:p>
      <w:pPr>
        <w:widowControl/>
        <w:wordWrap w:val="0"/>
        <w:spacing w:line="400" w:lineRule="exact"/>
        <w:ind w:firstLine="482" w:firstLineChars="200"/>
        <w:jc w:val="left"/>
        <w:rPr>
          <w:rFonts w:ascii="黑体" w:hAnsi="黑体" w:eastAsia="黑体" w:cs="黑体"/>
          <w:b/>
          <w:bCs/>
          <w:color w:val="000000"/>
          <w:sz w:val="32"/>
          <w:szCs w:val="32"/>
        </w:rPr>
      </w:pPr>
      <w:r>
        <w:rPr>
          <w:rFonts w:hint="eastAsia" w:ascii="楷体" w:hAnsi="楷体" w:eastAsia="楷体" w:cs="楷体"/>
          <w:b/>
          <w:bCs/>
          <w:color w:val="000000"/>
          <w:sz w:val="24"/>
        </w:rPr>
        <w:t>注</w:t>
      </w:r>
      <w:r>
        <w:rPr>
          <w:rFonts w:hint="eastAsia" w:ascii="楷体" w:hAnsi="楷体" w:eastAsia="楷体" w:cs="楷体"/>
          <w:color w:val="000000"/>
          <w:sz w:val="24"/>
        </w:rPr>
        <w:t>：参加社会实践团队的调查报告作者原则上为一人；集体获奖，按排名先后顺序等差递减0.1学分，最低0.5学分。</w:t>
      </w:r>
    </w:p>
    <w:p>
      <w:pPr>
        <w:widowControl/>
        <w:wordWrap w:val="0"/>
        <w:spacing w:line="432" w:lineRule="auto"/>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八、社团活动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56"/>
        <w:gridCol w:w="3767"/>
        <w:gridCol w:w="918"/>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序号</w:t>
            </w:r>
          </w:p>
        </w:tc>
        <w:tc>
          <w:tcPr>
            <w:tcW w:w="1156"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项目</w:t>
            </w:r>
          </w:p>
        </w:tc>
        <w:tc>
          <w:tcPr>
            <w:tcW w:w="3767"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标准</w:t>
            </w:r>
          </w:p>
        </w:tc>
        <w:tc>
          <w:tcPr>
            <w:tcW w:w="918"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学分</w:t>
            </w:r>
          </w:p>
        </w:tc>
        <w:tc>
          <w:tcPr>
            <w:tcW w:w="1895" w:type="dxa"/>
            <w:vAlign w:val="center"/>
          </w:tcPr>
          <w:p>
            <w:pPr>
              <w:widowControl/>
              <w:wordWrap w:val="0"/>
              <w:spacing w:line="360" w:lineRule="auto"/>
              <w:jc w:val="center"/>
              <w:rPr>
                <w:rFonts w:ascii="楷体" w:hAnsi="楷体" w:eastAsia="楷体" w:cs="楷体"/>
                <w:color w:val="000000"/>
                <w:kern w:val="0"/>
                <w:sz w:val="24"/>
              </w:rPr>
            </w:pPr>
            <w:r>
              <w:rPr>
                <w:rFonts w:hint="eastAsia" w:ascii="楷体" w:hAnsi="楷体" w:eastAsia="楷体" w:cs="楷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86" w:type="dxa"/>
            <w:vMerge w:val="restart"/>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1156" w:type="dxa"/>
            <w:vMerge w:val="restart"/>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专业社团</w:t>
            </w:r>
          </w:p>
        </w:tc>
        <w:tc>
          <w:tcPr>
            <w:tcW w:w="3767" w:type="dxa"/>
            <w:vAlign w:val="center"/>
          </w:tcPr>
          <w:p>
            <w:pPr>
              <w:widowControl/>
              <w:wordWrap w:val="0"/>
              <w:jc w:val="center"/>
              <w:rPr>
                <w:rFonts w:ascii="仿宋_GB2312" w:hAnsi="黑体" w:eastAsia="仿宋_GB2312" w:cs="黑体"/>
                <w:color w:val="000000"/>
                <w:sz w:val="32"/>
                <w:szCs w:val="32"/>
              </w:rPr>
            </w:pPr>
            <w:r>
              <w:rPr>
                <w:rFonts w:hint="eastAsia" w:ascii="仿宋_GB2312" w:hAnsi="楷体" w:eastAsia="仿宋_GB2312" w:cs="楷体"/>
                <w:color w:val="000000"/>
                <w:kern w:val="0"/>
                <w:sz w:val="24"/>
              </w:rPr>
              <w:t>参加校礼仪队、国旗队等，每学期训练50学时以上经考核合格者</w:t>
            </w:r>
          </w:p>
        </w:tc>
        <w:tc>
          <w:tcPr>
            <w:tcW w:w="918" w:type="dxa"/>
            <w:vAlign w:val="center"/>
          </w:tcPr>
          <w:p>
            <w:pPr>
              <w:widowControl/>
              <w:wordWrap w:val="0"/>
              <w:spacing w:line="432" w:lineRule="auto"/>
              <w:jc w:val="center"/>
              <w:rPr>
                <w:rFonts w:ascii="仿宋_GB2312" w:hAnsi="黑体" w:eastAsia="仿宋_GB2312" w:cs="黑体"/>
                <w:color w:val="000000"/>
                <w:sz w:val="32"/>
                <w:szCs w:val="32"/>
              </w:rPr>
            </w:pPr>
            <w:r>
              <w:rPr>
                <w:rFonts w:hint="eastAsia" w:ascii="仿宋_GB2312" w:hAnsi="楷体" w:eastAsia="仿宋_GB2312" w:cs="楷体"/>
                <w:color w:val="000000"/>
                <w:kern w:val="0"/>
                <w:sz w:val="24"/>
              </w:rPr>
              <w:t>1</w:t>
            </w:r>
          </w:p>
        </w:tc>
        <w:tc>
          <w:tcPr>
            <w:tcW w:w="1895" w:type="dxa"/>
            <w:vAlign w:val="center"/>
          </w:tcPr>
          <w:p>
            <w:pPr>
              <w:widowControl/>
              <w:wordWrap w:val="0"/>
              <w:jc w:val="left"/>
              <w:rPr>
                <w:rFonts w:ascii="仿宋_GB2312" w:hAnsi="楷体" w:eastAsia="仿宋_GB2312"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86" w:type="dxa"/>
            <w:vMerge w:val="continue"/>
            <w:vAlign w:val="center"/>
          </w:tcPr>
          <w:p>
            <w:pPr>
              <w:widowControl/>
              <w:wordWrap w:val="0"/>
              <w:spacing w:line="432" w:lineRule="auto"/>
              <w:jc w:val="left"/>
              <w:rPr>
                <w:rFonts w:ascii="仿宋_GB2312" w:hAnsi="黑体" w:eastAsia="仿宋_GB2312" w:cs="黑体"/>
                <w:color w:val="000000"/>
                <w:sz w:val="32"/>
                <w:szCs w:val="32"/>
              </w:rPr>
            </w:pPr>
          </w:p>
        </w:tc>
        <w:tc>
          <w:tcPr>
            <w:tcW w:w="1156" w:type="dxa"/>
            <w:vMerge w:val="continue"/>
            <w:vAlign w:val="center"/>
          </w:tcPr>
          <w:p>
            <w:pPr>
              <w:widowControl/>
              <w:wordWrap w:val="0"/>
              <w:spacing w:line="432" w:lineRule="auto"/>
              <w:jc w:val="left"/>
              <w:rPr>
                <w:rFonts w:ascii="仿宋_GB2312" w:hAnsi="黑体" w:eastAsia="仿宋_GB2312" w:cs="黑体"/>
                <w:color w:val="000000"/>
                <w:sz w:val="32"/>
                <w:szCs w:val="32"/>
              </w:rPr>
            </w:pPr>
          </w:p>
        </w:tc>
        <w:tc>
          <w:tcPr>
            <w:tcW w:w="3767" w:type="dxa"/>
            <w:vAlign w:val="center"/>
          </w:tcPr>
          <w:p>
            <w:pPr>
              <w:widowControl/>
              <w:wordWrap w:val="0"/>
              <w:rPr>
                <w:rFonts w:ascii="仿宋_GB2312" w:hAnsi="黑体" w:eastAsia="仿宋_GB2312" w:cs="黑体"/>
                <w:color w:val="000000"/>
                <w:sz w:val="32"/>
                <w:szCs w:val="32"/>
              </w:rPr>
            </w:pPr>
            <w:r>
              <w:rPr>
                <w:rFonts w:hint="eastAsia" w:ascii="仿宋_GB2312" w:hAnsi="楷体" w:eastAsia="仿宋_GB2312" w:cs="楷体"/>
                <w:color w:val="000000"/>
                <w:kern w:val="0"/>
                <w:sz w:val="24"/>
              </w:rPr>
              <w:t>参加校体育代表队（健美操协会、足球协会、篮球协会）等训练项目，每学期训练50学时以上经考核合格者</w:t>
            </w:r>
          </w:p>
        </w:tc>
        <w:tc>
          <w:tcPr>
            <w:tcW w:w="918" w:type="dxa"/>
            <w:vAlign w:val="center"/>
          </w:tcPr>
          <w:p>
            <w:pPr>
              <w:widowControl/>
              <w:wordWrap w:val="0"/>
              <w:spacing w:line="432" w:lineRule="auto"/>
              <w:jc w:val="center"/>
              <w:rPr>
                <w:rFonts w:ascii="仿宋_GB2312" w:hAnsi="黑体" w:eastAsia="仿宋_GB2312" w:cs="黑体"/>
                <w:color w:val="000000"/>
                <w:sz w:val="32"/>
                <w:szCs w:val="32"/>
              </w:rPr>
            </w:pPr>
            <w:r>
              <w:rPr>
                <w:rFonts w:hint="eastAsia" w:ascii="仿宋_GB2312" w:hAnsi="楷体" w:eastAsia="仿宋_GB2312" w:cs="楷体"/>
                <w:color w:val="000000"/>
                <w:kern w:val="0"/>
                <w:sz w:val="24"/>
              </w:rPr>
              <w:t>1</w:t>
            </w:r>
          </w:p>
        </w:tc>
        <w:tc>
          <w:tcPr>
            <w:tcW w:w="1895" w:type="dxa"/>
            <w:vAlign w:val="center"/>
          </w:tcPr>
          <w:p>
            <w:pPr>
              <w:widowControl/>
              <w:wordWrap w:val="0"/>
              <w:jc w:val="left"/>
              <w:rPr>
                <w:rFonts w:ascii="仿宋_GB2312" w:hAnsi="楷体" w:eastAsia="仿宋_GB2312"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1156" w:type="dxa"/>
            <w:vMerge w:val="restart"/>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综合社团</w:t>
            </w:r>
          </w:p>
        </w:tc>
        <w:tc>
          <w:tcPr>
            <w:tcW w:w="3767"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每学年，经校团委考核认定的五优社团</w:t>
            </w:r>
          </w:p>
        </w:tc>
        <w:tc>
          <w:tcPr>
            <w:tcW w:w="918"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1/0.5</w:t>
            </w:r>
          </w:p>
        </w:tc>
        <w:tc>
          <w:tcPr>
            <w:tcW w:w="1895" w:type="dxa"/>
          </w:tcPr>
          <w:p>
            <w:pPr>
              <w:widowControl/>
              <w:wordWrap w:val="0"/>
              <w:jc w:val="left"/>
              <w:rPr>
                <w:rFonts w:ascii="仿宋_GB2312" w:hAnsi="黑体" w:eastAsia="仿宋_GB2312" w:cs="黑体"/>
                <w:color w:val="000000"/>
                <w:sz w:val="32"/>
                <w:szCs w:val="32"/>
              </w:rPr>
            </w:pPr>
            <w:r>
              <w:rPr>
                <w:rFonts w:hint="eastAsia" w:ascii="仿宋_GB2312" w:hAnsi="楷体" w:eastAsia="仿宋_GB2312" w:cs="楷体"/>
                <w:color w:val="000000"/>
                <w:kern w:val="0"/>
                <w:sz w:val="24"/>
              </w:rPr>
              <w:t>参考优秀社团评比细则;负责人记1分，社员记0.5分。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86" w:type="dxa"/>
            <w:vMerge w:val="continue"/>
            <w:vAlign w:val="center"/>
          </w:tcPr>
          <w:p>
            <w:pPr>
              <w:widowControl/>
              <w:wordWrap w:val="0"/>
              <w:spacing w:line="432" w:lineRule="auto"/>
              <w:jc w:val="left"/>
              <w:rPr>
                <w:rFonts w:ascii="仿宋_GB2312" w:hAnsi="黑体" w:eastAsia="仿宋_GB2312" w:cs="黑体"/>
                <w:color w:val="000000"/>
                <w:sz w:val="32"/>
                <w:szCs w:val="32"/>
              </w:rPr>
            </w:pPr>
          </w:p>
        </w:tc>
        <w:tc>
          <w:tcPr>
            <w:tcW w:w="1156" w:type="dxa"/>
            <w:vMerge w:val="continue"/>
            <w:vAlign w:val="center"/>
          </w:tcPr>
          <w:p>
            <w:pPr>
              <w:widowControl/>
              <w:wordWrap w:val="0"/>
              <w:spacing w:line="432" w:lineRule="auto"/>
              <w:jc w:val="left"/>
              <w:rPr>
                <w:rFonts w:ascii="仿宋_GB2312" w:hAnsi="黑体" w:eastAsia="仿宋_GB2312" w:cs="黑体"/>
                <w:color w:val="000000"/>
                <w:sz w:val="32"/>
                <w:szCs w:val="32"/>
              </w:rPr>
            </w:pPr>
          </w:p>
        </w:tc>
        <w:tc>
          <w:tcPr>
            <w:tcW w:w="3767" w:type="dxa"/>
            <w:vAlign w:val="center"/>
          </w:tcPr>
          <w:p>
            <w:pPr>
              <w:widowControl/>
              <w:wordWrap w:val="0"/>
              <w:jc w:val="left"/>
              <w:rPr>
                <w:rFonts w:ascii="仿宋_GB2312" w:hAnsi="楷体" w:eastAsia="仿宋_GB2312" w:cs="楷体"/>
                <w:color w:val="000000"/>
                <w:kern w:val="0"/>
                <w:sz w:val="24"/>
              </w:rPr>
            </w:pPr>
            <w:r>
              <w:rPr>
                <w:rFonts w:hint="eastAsia" w:ascii="仿宋_GB2312" w:hAnsi="楷体" w:eastAsia="仿宋_GB2312" w:cs="楷体"/>
                <w:color w:val="000000"/>
                <w:kern w:val="0"/>
                <w:sz w:val="24"/>
              </w:rPr>
              <w:t>每学年，经校团委考核认定的优秀社团成员</w:t>
            </w:r>
          </w:p>
        </w:tc>
        <w:tc>
          <w:tcPr>
            <w:tcW w:w="918" w:type="dxa"/>
            <w:vAlign w:val="center"/>
          </w:tcPr>
          <w:p>
            <w:pPr>
              <w:widowControl/>
              <w:wordWrap w:val="0"/>
              <w:spacing w:line="360"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1895" w:type="dxa"/>
          </w:tcPr>
          <w:p>
            <w:pPr>
              <w:widowControl/>
              <w:wordWrap w:val="0"/>
              <w:spacing w:line="432" w:lineRule="auto"/>
              <w:jc w:val="left"/>
              <w:rPr>
                <w:rFonts w:ascii="仿宋_GB2312" w:hAnsi="黑体" w:eastAsia="仿宋_GB2312" w:cs="黑体"/>
                <w:color w:val="000000"/>
                <w:sz w:val="32"/>
                <w:szCs w:val="32"/>
              </w:rPr>
            </w:pPr>
          </w:p>
        </w:tc>
      </w:tr>
    </w:tbl>
    <w:p>
      <w:pPr>
        <w:widowControl/>
        <w:wordWrap w:val="0"/>
        <w:spacing w:line="400" w:lineRule="exact"/>
        <w:jc w:val="left"/>
        <w:rPr>
          <w:rFonts w:ascii="黑体" w:hAnsi="黑体" w:eastAsia="黑体" w:cs="黑体"/>
          <w:bCs/>
          <w:color w:val="000000"/>
          <w:sz w:val="32"/>
          <w:szCs w:val="32"/>
        </w:rPr>
      </w:pPr>
      <w:r>
        <w:rPr>
          <w:rFonts w:hint="eastAsia" w:ascii="仿宋_GB2312" w:eastAsia="仿宋_GB2312"/>
          <w:color w:val="000000"/>
          <w:sz w:val="24"/>
        </w:rPr>
        <w:t xml:space="preserve">  </w:t>
      </w:r>
      <w:r>
        <w:rPr>
          <w:rFonts w:hint="eastAsia" w:ascii="黑体" w:hAnsi="黑体" w:eastAsia="黑体" w:cs="黑体"/>
          <w:bCs/>
          <w:color w:val="000000"/>
          <w:sz w:val="32"/>
          <w:szCs w:val="32"/>
        </w:rPr>
        <w:t>九、相关论文、成果等分值分配系数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04"/>
        <w:gridCol w:w="1215"/>
        <w:gridCol w:w="1215"/>
        <w:gridCol w:w="1216"/>
        <w:gridCol w:w="122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94"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排位</w:t>
            </w:r>
          </w:p>
        </w:tc>
        <w:tc>
          <w:tcPr>
            <w:tcW w:w="1294"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1294"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2</w:t>
            </w:r>
          </w:p>
        </w:tc>
        <w:tc>
          <w:tcPr>
            <w:tcW w:w="1294"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3</w:t>
            </w:r>
          </w:p>
        </w:tc>
        <w:tc>
          <w:tcPr>
            <w:tcW w:w="1295"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4</w:t>
            </w:r>
          </w:p>
        </w:tc>
        <w:tc>
          <w:tcPr>
            <w:tcW w:w="1295"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5</w:t>
            </w:r>
          </w:p>
        </w:tc>
        <w:tc>
          <w:tcPr>
            <w:tcW w:w="1295"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94"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分值系数</w:t>
            </w:r>
          </w:p>
        </w:tc>
        <w:tc>
          <w:tcPr>
            <w:tcW w:w="1294"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1</w:t>
            </w:r>
          </w:p>
        </w:tc>
        <w:tc>
          <w:tcPr>
            <w:tcW w:w="1294"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0.9</w:t>
            </w:r>
          </w:p>
        </w:tc>
        <w:tc>
          <w:tcPr>
            <w:tcW w:w="1294"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0.8</w:t>
            </w:r>
          </w:p>
        </w:tc>
        <w:tc>
          <w:tcPr>
            <w:tcW w:w="1295"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0.7</w:t>
            </w:r>
          </w:p>
        </w:tc>
        <w:tc>
          <w:tcPr>
            <w:tcW w:w="1295" w:type="dxa"/>
            <w:vAlign w:val="center"/>
          </w:tcPr>
          <w:p>
            <w:pPr>
              <w:widowControl/>
              <w:wordWrap w:val="0"/>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0.6</w:t>
            </w:r>
            <w:r>
              <w:rPr>
                <w:rFonts w:hint="eastAsia" w:ascii="仿宋_GB2312" w:hAnsi="宋体" w:eastAsia="仿宋_GB2312" w:cs="宋体"/>
                <w:color w:val="000000"/>
                <w:kern w:val="0"/>
                <w:sz w:val="24"/>
              </w:rPr>
              <w:t> </w:t>
            </w:r>
          </w:p>
        </w:tc>
        <w:tc>
          <w:tcPr>
            <w:tcW w:w="1295" w:type="dxa"/>
            <w:vAlign w:val="center"/>
          </w:tcPr>
          <w:p>
            <w:pPr>
              <w:widowControl/>
              <w:spacing w:line="336" w:lineRule="auto"/>
              <w:jc w:val="center"/>
              <w:rPr>
                <w:rFonts w:ascii="仿宋_GB2312" w:hAnsi="楷体" w:eastAsia="仿宋_GB2312" w:cs="楷体"/>
                <w:color w:val="000000"/>
                <w:kern w:val="0"/>
                <w:sz w:val="24"/>
              </w:rPr>
            </w:pPr>
            <w:r>
              <w:rPr>
                <w:rFonts w:hint="eastAsia" w:ascii="仿宋_GB2312" w:hAnsi="楷体" w:eastAsia="仿宋_GB2312" w:cs="楷体"/>
                <w:color w:val="000000"/>
                <w:kern w:val="0"/>
                <w:sz w:val="24"/>
              </w:rPr>
              <w:t>0.5</w:t>
            </w:r>
          </w:p>
        </w:tc>
      </w:tr>
    </w:tbl>
    <w:p>
      <w:pPr>
        <w:widowControl/>
        <w:wordWrap w:val="0"/>
        <w:spacing w:line="432" w:lineRule="auto"/>
        <w:ind w:firstLine="640" w:firstLineChars="200"/>
        <w:jc w:val="left"/>
        <w:rPr>
          <w:rFonts w:ascii="黑体" w:hAnsi="黑体" w:eastAsia="黑体" w:cs="黑体"/>
          <w:bCs/>
          <w:color w:val="000000"/>
          <w:sz w:val="32"/>
          <w:szCs w:val="32"/>
        </w:rPr>
      </w:pPr>
    </w:p>
    <w:p>
      <w:pPr>
        <w:widowControl/>
        <w:wordWrap w:val="0"/>
        <w:spacing w:line="432" w:lineRule="auto"/>
        <w:ind w:firstLine="640" w:firstLineChars="200"/>
        <w:jc w:val="left"/>
        <w:rPr>
          <w:rFonts w:ascii="黑体" w:hAnsi="黑体" w:eastAsia="黑体" w:cs="黑体"/>
          <w:bCs/>
          <w:color w:val="000000"/>
          <w:sz w:val="32"/>
          <w:szCs w:val="32"/>
        </w:rPr>
      </w:pPr>
    </w:p>
    <w:p>
      <w:pPr>
        <w:widowControl/>
        <w:wordWrap w:val="0"/>
        <w:spacing w:line="432" w:lineRule="auto"/>
        <w:ind w:firstLine="640" w:firstLineChars="200"/>
        <w:jc w:val="left"/>
        <w:rPr>
          <w:rFonts w:ascii="黑体" w:hAnsi="黑体" w:eastAsia="黑体" w:cs="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jkyNTM3MzNjMjg3ZjE2YTg5Y2FiODJmZGFkM2EifQ=="/>
  </w:docVars>
  <w:rsids>
    <w:rsidRoot w:val="4E206E76"/>
    <w:rsid w:val="4E20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2023-11-13T08:22:00Z</dcterms:created>
  <dc:creator>Administrator</dc:creator>
  <cp:lastModifiedBy>Administrator</cp:lastModifiedBy>
  <dcterms:modified xsi:type="dcterms:W3CDTF">2023-11-13T08:23:12Z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24B08AEF34834D1C80D1996BF884EBF7_11</vt:lpwstr>
  </property>
</Properties>
</file>