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安阳幼儿师范高等专科学校</w:t>
      </w:r>
    </w:p>
    <w:p>
      <w:pPr>
        <w:spacing w:line="540" w:lineRule="exact"/>
        <w:jc w:val="center"/>
        <w:rPr>
          <w:rFonts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课程考核管理办法（修订）</w:t>
      </w:r>
    </w:p>
    <w:bookmarkEnd w:id="0"/>
    <w:p>
      <w:pPr>
        <w:widowControl/>
        <w:shd w:val="clear" w:color="auto" w:fill="FFFFFF"/>
        <w:tabs>
          <w:tab w:val="left" w:pos="5580"/>
        </w:tabs>
        <w:adjustRightInd w:val="0"/>
        <w:snapToGrid w:val="0"/>
        <w:spacing w:before="240" w:beforeLines="100" w:after="240" w:afterLines="100" w:line="500" w:lineRule="exact"/>
        <w:jc w:val="center"/>
        <w:rPr>
          <w:rFonts w:ascii="仿宋_GB2312" w:hAnsi="仿宋" w:eastAsia="仿宋_GB2312" w:cs="仿宋"/>
          <w:kern w:val="0"/>
          <w:sz w:val="28"/>
          <w:szCs w:val="28"/>
        </w:rPr>
      </w:pPr>
      <w:r>
        <w:rPr>
          <w:rFonts w:hint="eastAsia" w:ascii="仿宋_GB2312" w:hAnsi="宋体" w:eastAsia="仿宋_GB2312"/>
          <w:sz w:val="28"/>
          <w:szCs w:val="28"/>
        </w:rPr>
        <w:t>安幼校〔2022〕90 号</w:t>
      </w:r>
    </w:p>
    <w:p>
      <w:pPr>
        <w:widowControl/>
        <w:shd w:val="clear" w:color="auto" w:fill="FFFFFF"/>
        <w:adjustRightInd w:val="0"/>
        <w:snapToGrid w:val="0"/>
        <w:spacing w:line="500" w:lineRule="exact"/>
        <w:ind w:firstLine="560" w:firstLineChars="200"/>
        <w:jc w:val="left"/>
        <w:rPr>
          <w:rFonts w:ascii="仿宋_GB2312" w:hAnsi="仿宋" w:eastAsia="仿宋_GB2312" w:cs="仿宋"/>
          <w:kern w:val="0"/>
          <w:sz w:val="28"/>
          <w:szCs w:val="28"/>
        </w:rPr>
      </w:pPr>
      <w:r>
        <w:rPr>
          <w:rFonts w:hint="eastAsia" w:ascii="仿宋_GB2312" w:hAnsi="仿宋" w:eastAsia="仿宋_GB2312" w:cs="仿宋"/>
          <w:kern w:val="0"/>
          <w:sz w:val="28"/>
          <w:szCs w:val="28"/>
        </w:rPr>
        <w:t>课程考核是教学过程中的重要环节，是正确评价和检验学生对所学知识掌握程度的重要手段。为加强教学管理，严肃教风、学风和考风，提高教学质量，规范课程考核工作，根据教育部有关文件精神，</w:t>
      </w:r>
      <w:r>
        <w:rPr>
          <w:rFonts w:hint="eastAsia" w:ascii="仿宋_GB2312" w:hAnsi="仿宋" w:eastAsia="仿宋_GB2312" w:cs="仿宋"/>
          <w:sz w:val="28"/>
          <w:szCs w:val="28"/>
        </w:rPr>
        <w:t>结合我校实际情况，</w:t>
      </w:r>
      <w:r>
        <w:rPr>
          <w:rFonts w:hint="eastAsia" w:ascii="仿宋_GB2312" w:hAnsi="仿宋" w:eastAsia="仿宋_GB2312" w:cs="仿宋"/>
          <w:kern w:val="0"/>
          <w:sz w:val="28"/>
          <w:szCs w:val="28"/>
        </w:rPr>
        <w:t>特制定本办法。</w:t>
      </w:r>
    </w:p>
    <w:p>
      <w:pPr>
        <w:widowControl/>
        <w:shd w:val="clear" w:color="auto" w:fill="FFFFFF"/>
        <w:adjustRightInd w:val="0"/>
        <w:snapToGrid w:val="0"/>
        <w:spacing w:before="120" w:beforeLines="50" w:after="120" w:afterLines="50" w:line="500" w:lineRule="exact"/>
        <w:jc w:val="center"/>
        <w:rPr>
          <w:rFonts w:ascii="黑体" w:hAnsi="黑体" w:eastAsia="黑体" w:cs="黑体"/>
          <w:kern w:val="0"/>
          <w:sz w:val="28"/>
          <w:szCs w:val="28"/>
        </w:rPr>
      </w:pPr>
      <w:r>
        <w:rPr>
          <w:rFonts w:hint="eastAsia" w:ascii="黑体" w:hAnsi="黑体" w:eastAsia="黑体" w:cs="黑体"/>
          <w:kern w:val="0"/>
          <w:sz w:val="28"/>
          <w:szCs w:val="28"/>
        </w:rPr>
        <w:t>第一章 总则</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仿宋" w:eastAsia="仿宋_GB2312" w:cs="仿宋"/>
          <w:b/>
          <w:sz w:val="28"/>
          <w:szCs w:val="28"/>
        </w:rPr>
        <w:t xml:space="preserve">第一条 </w:t>
      </w:r>
      <w:r>
        <w:rPr>
          <w:rFonts w:hint="eastAsia" w:ascii="仿宋_GB2312" w:hAnsi="仿宋" w:eastAsia="仿宋_GB2312" w:cs="仿宋"/>
          <w:kern w:val="0"/>
          <w:sz w:val="28"/>
          <w:szCs w:val="28"/>
        </w:rPr>
        <w:t>课程考核工作要在教学主管校长的领导下，由教务处负责统筹管理，各学院负责具体实施。</w:t>
      </w:r>
    </w:p>
    <w:p>
      <w:pPr>
        <w:widowControl/>
        <w:shd w:val="clear" w:color="auto" w:fill="FFFFFF"/>
        <w:adjustRightInd w:val="0"/>
        <w:snapToGrid w:val="0"/>
        <w:spacing w:line="500" w:lineRule="exact"/>
        <w:ind w:firstLine="562" w:firstLineChars="200"/>
        <w:jc w:val="left"/>
        <w:rPr>
          <w:rFonts w:ascii="仿宋_GB2312" w:hAnsi="仿宋" w:eastAsia="仿宋_GB2312" w:cs="仿宋"/>
          <w:sz w:val="28"/>
          <w:szCs w:val="28"/>
        </w:rPr>
      </w:pPr>
      <w:r>
        <w:rPr>
          <w:rFonts w:hint="eastAsia" w:ascii="仿宋_GB2312" w:hAnsi="仿宋" w:eastAsia="仿宋_GB2312" w:cs="仿宋"/>
          <w:b/>
          <w:sz w:val="28"/>
          <w:szCs w:val="28"/>
        </w:rPr>
        <w:t xml:space="preserve">第二条 </w:t>
      </w:r>
      <w:r>
        <w:rPr>
          <w:rFonts w:hint="eastAsia" w:ascii="仿宋_GB2312" w:hAnsi="仿宋" w:eastAsia="仿宋_GB2312" w:cs="仿宋"/>
          <w:sz w:val="28"/>
          <w:szCs w:val="28"/>
        </w:rPr>
        <w:t>考核的目的是检查学生的学习质量和教学效果，促进教学工作。要依据各学科课程教学大纲确定考核的范围和难度，着重考核学生对基本知识、基础理论、基本技能的掌握和实际应用能力。</w:t>
      </w:r>
    </w:p>
    <w:p>
      <w:pPr>
        <w:widowControl/>
        <w:shd w:val="clear" w:color="auto" w:fill="FFFFFF"/>
        <w:adjustRightInd w:val="0"/>
        <w:snapToGrid w:val="0"/>
        <w:spacing w:line="500" w:lineRule="exact"/>
        <w:ind w:firstLine="562" w:firstLineChars="200"/>
        <w:jc w:val="left"/>
        <w:rPr>
          <w:rFonts w:ascii="仿宋_GB2312" w:hAnsi="仿宋" w:eastAsia="仿宋_GB2312" w:cs="仿宋"/>
          <w:sz w:val="28"/>
          <w:szCs w:val="28"/>
        </w:rPr>
      </w:pPr>
      <w:r>
        <w:rPr>
          <w:rFonts w:hint="eastAsia" w:ascii="仿宋_GB2312" w:hAnsi="仿宋" w:eastAsia="仿宋_GB2312" w:cs="仿宋"/>
          <w:b/>
          <w:sz w:val="28"/>
          <w:szCs w:val="28"/>
        </w:rPr>
        <w:t xml:space="preserve">第三条 </w:t>
      </w:r>
      <w:r>
        <w:rPr>
          <w:rFonts w:hint="eastAsia" w:ascii="仿宋_GB2312" w:hAnsi="仿宋" w:eastAsia="仿宋_GB2312" w:cs="仿宋"/>
          <w:sz w:val="28"/>
          <w:szCs w:val="28"/>
        </w:rPr>
        <w:t>考核的结果是确定学生毕（结）业、升级、留级、退学等事宜的重要依据之一。对因学业成绩不合格予以留级或退学的学生，只表明其学业成绩不宜升级，或不宜在校继续学习，而不是对学生本人的一种处分。</w:t>
      </w:r>
    </w:p>
    <w:p>
      <w:pPr>
        <w:widowControl/>
        <w:shd w:val="clear" w:color="auto" w:fill="FFFFFF"/>
        <w:adjustRightInd w:val="0"/>
        <w:snapToGrid w:val="0"/>
        <w:spacing w:line="500" w:lineRule="exact"/>
        <w:ind w:firstLine="562" w:firstLineChars="200"/>
        <w:jc w:val="left"/>
        <w:rPr>
          <w:rFonts w:ascii="仿宋_GB2312" w:hAnsi="仿宋" w:eastAsia="仿宋_GB2312" w:cs="仿宋"/>
          <w:b/>
          <w:bCs/>
          <w:kern w:val="0"/>
          <w:sz w:val="28"/>
          <w:szCs w:val="28"/>
        </w:rPr>
      </w:pPr>
      <w:r>
        <w:rPr>
          <w:rFonts w:hint="eastAsia" w:ascii="仿宋_GB2312" w:hAnsi="仿宋" w:eastAsia="仿宋_GB2312" w:cs="仿宋"/>
          <w:b/>
          <w:kern w:val="0"/>
          <w:sz w:val="28"/>
          <w:szCs w:val="28"/>
        </w:rPr>
        <w:t>第四条</w:t>
      </w:r>
      <w:r>
        <w:rPr>
          <w:rFonts w:hint="eastAsia" w:ascii="仿宋_GB2312" w:hAnsi="仿宋" w:eastAsia="仿宋_GB2312" w:cs="仿宋"/>
          <w:sz w:val="28"/>
          <w:szCs w:val="28"/>
        </w:rPr>
        <w:t xml:space="preserve"> 课程考核应覆盖人才培养方案中的所有课程和实践环节，包括必修课程、选修课程和实践环节。学生必须参加规定课程的考核，考核成绩载入《安阳幼儿师范高等专科学校学生学业成绩表》，一式两份，一份存入学生本人档案，一份学校存档。</w:t>
      </w:r>
    </w:p>
    <w:p>
      <w:pPr>
        <w:widowControl/>
        <w:shd w:val="clear" w:color="auto" w:fill="FFFFFF"/>
        <w:adjustRightInd w:val="0"/>
        <w:snapToGrid w:val="0"/>
        <w:spacing w:before="120" w:beforeLines="50" w:after="120" w:afterLines="50" w:line="500" w:lineRule="exact"/>
        <w:jc w:val="center"/>
        <w:rPr>
          <w:rFonts w:ascii="黑体" w:hAnsi="黑体" w:eastAsia="黑体" w:cs="黑体"/>
          <w:kern w:val="0"/>
          <w:sz w:val="28"/>
          <w:szCs w:val="28"/>
        </w:rPr>
      </w:pPr>
      <w:r>
        <w:rPr>
          <w:rFonts w:hint="eastAsia" w:ascii="黑体" w:hAnsi="黑体" w:eastAsia="黑体" w:cs="黑体"/>
          <w:kern w:val="0"/>
          <w:sz w:val="28"/>
          <w:szCs w:val="28"/>
        </w:rPr>
        <w:t>第二章 考核方式</w:t>
      </w:r>
    </w:p>
    <w:p>
      <w:pPr>
        <w:widowControl/>
        <w:shd w:val="clear" w:color="auto" w:fill="FFFFFF"/>
        <w:adjustRightInd w:val="0"/>
        <w:snapToGrid w:val="0"/>
        <w:spacing w:line="500" w:lineRule="exact"/>
        <w:ind w:firstLine="562" w:firstLineChars="200"/>
        <w:jc w:val="left"/>
        <w:rPr>
          <w:rFonts w:ascii="仿宋_GB2312" w:hAnsi="黑体" w:eastAsia="仿宋_GB2312" w:cs="黑体"/>
          <w:color w:val="000000" w:themeColor="text1"/>
          <w:kern w:val="0"/>
          <w:sz w:val="28"/>
          <w:szCs w:val="28"/>
          <w14:textFill>
            <w14:solidFill>
              <w14:schemeClr w14:val="tx1"/>
            </w14:solidFill>
          </w14:textFill>
        </w:rPr>
      </w:pPr>
      <w:r>
        <w:rPr>
          <w:rFonts w:hint="eastAsia" w:ascii="仿宋_GB2312" w:hAnsi="仿宋" w:eastAsia="仿宋_GB2312" w:cs="仿宋"/>
          <w:b/>
          <w:color w:val="000000" w:themeColor="text1"/>
          <w:kern w:val="0"/>
          <w:sz w:val="28"/>
          <w:szCs w:val="28"/>
          <w14:textFill>
            <w14:solidFill>
              <w14:schemeClr w14:val="tx1"/>
            </w14:solidFill>
          </w14:textFill>
        </w:rPr>
        <w:t xml:space="preserve">第五条 </w:t>
      </w:r>
      <w:r>
        <w:rPr>
          <w:rFonts w:hint="eastAsia" w:ascii="仿宋_GB2312" w:hAnsi="黑体" w:eastAsia="仿宋_GB2312" w:cs="黑体"/>
          <w:color w:val="000000" w:themeColor="text1"/>
          <w:kern w:val="0"/>
          <w:sz w:val="28"/>
          <w:szCs w:val="28"/>
          <w14:textFill>
            <w14:solidFill>
              <w14:schemeClr w14:val="tx1"/>
            </w14:solidFill>
          </w14:textFill>
        </w:rPr>
        <w:t>课程考核方式分为考试和考查两种。课程考核可采取笔试(闭卷或开卷)、面试、实验操作、技能展演、作品展示等形式。考核形式与内容应根据课程性质、特点和全面考核学生知识与能力的要求来确定。无论采用何种方式都</w:t>
      </w:r>
      <w:r>
        <w:rPr>
          <w:rFonts w:hint="eastAsia" w:ascii="仿宋_GB2312" w:hAnsi="Arial" w:eastAsia="仿宋_GB2312" w:cs="Arial"/>
          <w:color w:val="000000" w:themeColor="text1"/>
          <w:sz w:val="28"/>
          <w:szCs w:val="28"/>
          <w:shd w:val="clear" w:color="auto" w:fill="FFFFFF"/>
          <w14:textFill>
            <w14:solidFill>
              <w14:schemeClr w14:val="tx1"/>
            </w14:solidFill>
          </w14:textFill>
        </w:rPr>
        <w:t>必须有利于促进学生能力和素养的提升，</w:t>
      </w:r>
      <w:r>
        <w:rPr>
          <w:rFonts w:hint="eastAsia" w:ascii="仿宋_GB2312" w:hAnsi="黑体" w:eastAsia="仿宋_GB2312" w:cs="黑体"/>
          <w:color w:val="000000" w:themeColor="text1"/>
          <w:kern w:val="0"/>
          <w:sz w:val="28"/>
          <w:szCs w:val="28"/>
          <w14:textFill>
            <w14:solidFill>
              <w14:schemeClr w14:val="tx1"/>
            </w14:solidFill>
          </w14:textFill>
        </w:rPr>
        <w:t>必须保证真实地检测学生的知识、能力水平和教师的教学质量。</w:t>
      </w:r>
    </w:p>
    <w:p>
      <w:pPr>
        <w:widowControl/>
        <w:shd w:val="clear" w:color="auto" w:fill="FFFFFF"/>
        <w:adjustRightInd w:val="0"/>
        <w:snapToGrid w:val="0"/>
        <w:spacing w:line="500" w:lineRule="exact"/>
        <w:ind w:firstLine="562" w:firstLineChars="200"/>
        <w:jc w:val="left"/>
        <w:rPr>
          <w:rFonts w:ascii="仿宋_GB2312" w:hAnsi="Arial" w:eastAsia="仿宋_GB2312" w:cs="Arial"/>
          <w:color w:val="000000" w:themeColor="text1"/>
          <w:sz w:val="28"/>
          <w:szCs w:val="28"/>
          <w:shd w:val="clear" w:color="auto" w:fill="FFFFFF"/>
          <w14:textFill>
            <w14:solidFill>
              <w14:schemeClr w14:val="tx1"/>
            </w14:solidFill>
          </w14:textFill>
        </w:rPr>
      </w:pPr>
      <w:r>
        <w:rPr>
          <w:rFonts w:hint="eastAsia" w:ascii="仿宋_GB2312" w:hAnsi="仿宋" w:eastAsia="仿宋_GB2312" w:cs="仿宋"/>
          <w:b/>
          <w:color w:val="000000" w:themeColor="text1"/>
          <w:kern w:val="0"/>
          <w:sz w:val="28"/>
          <w:szCs w:val="28"/>
          <w14:textFill>
            <w14:solidFill>
              <w14:schemeClr w14:val="tx1"/>
            </w14:solidFill>
          </w14:textFill>
        </w:rPr>
        <w:t xml:space="preserve">第六条 </w:t>
      </w:r>
      <w:r>
        <w:rPr>
          <w:rFonts w:hint="eastAsia" w:ascii="仿宋_GB2312" w:hAnsi="仿宋" w:eastAsia="仿宋_GB2312" w:cs="仿宋"/>
          <w:color w:val="000000" w:themeColor="text1"/>
          <w:kern w:val="0"/>
          <w:sz w:val="28"/>
          <w:szCs w:val="28"/>
          <w14:textFill>
            <w14:solidFill>
              <w14:schemeClr w14:val="tx1"/>
            </w14:solidFill>
          </w14:textFill>
        </w:rPr>
        <w:t>考试课程总成绩由考试成绩和平时成绩两部分组成。考试成绩亦可由笔试成绩和技能成绩两部分组成，具体由开课单位根据课程性质、特点、学生人数及设备条件来决定</w:t>
      </w:r>
      <w:r>
        <w:rPr>
          <w:rFonts w:hint="eastAsia" w:ascii="仿宋_GB2312" w:hAnsi="Arial" w:eastAsia="仿宋_GB2312" w:cs="Arial"/>
          <w:color w:val="000000" w:themeColor="text1"/>
          <w:sz w:val="28"/>
          <w:szCs w:val="28"/>
          <w:shd w:val="clear" w:color="auto" w:fill="FFFFFF"/>
          <w14:textFill>
            <w14:solidFill>
              <w14:schemeClr w14:val="tx1"/>
            </w14:solidFill>
          </w14:textFill>
        </w:rPr>
        <w:t>。</w:t>
      </w:r>
      <w:r>
        <w:rPr>
          <w:rFonts w:hint="eastAsia" w:ascii="仿宋_GB2312" w:hAnsi="仿宋" w:eastAsia="仿宋_GB2312" w:cs="仿宋"/>
          <w:color w:val="000000" w:themeColor="text1"/>
          <w:kern w:val="0"/>
          <w:sz w:val="28"/>
          <w:szCs w:val="28"/>
          <w14:textFill>
            <w14:solidFill>
              <w14:schemeClr w14:val="tx1"/>
            </w14:solidFill>
          </w14:textFill>
        </w:rPr>
        <w:t>考试课程成绩按百分制评定，各部分所占分数比例由开课单位决定。</w:t>
      </w:r>
      <w:r>
        <w:rPr>
          <w:rFonts w:hint="eastAsia" w:ascii="仿宋_GB2312" w:hAnsi="Arial" w:eastAsia="仿宋_GB2312" w:cs="Arial"/>
          <w:color w:val="000000" w:themeColor="text1"/>
          <w:sz w:val="28"/>
          <w:szCs w:val="28"/>
          <w:shd w:val="clear" w:color="auto" w:fill="FFFFFF"/>
          <w14:textFill>
            <w14:solidFill>
              <w14:schemeClr w14:val="tx1"/>
            </w14:solidFill>
          </w14:textFill>
        </w:rPr>
        <w:t>考试课程安排在学期末的最后两周进行，倒数第二周安排非统考课程的考试，倒数第一周安排统考课程的统一考试。</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仿宋" w:eastAsia="仿宋_GB2312" w:cs="仿宋"/>
          <w:b/>
          <w:color w:val="000000" w:themeColor="text1"/>
          <w:kern w:val="0"/>
          <w:sz w:val="28"/>
          <w:szCs w:val="28"/>
          <w14:textFill>
            <w14:solidFill>
              <w14:schemeClr w14:val="tx1"/>
            </w14:solidFill>
          </w14:textFill>
        </w:rPr>
        <w:t xml:space="preserve">第七条 </w:t>
      </w:r>
      <w:r>
        <w:rPr>
          <w:rFonts w:hint="eastAsia" w:ascii="仿宋_GB2312" w:hAnsi="仿宋" w:eastAsia="仿宋_GB2312" w:cs="仿宋"/>
          <w:color w:val="000000" w:themeColor="text1"/>
          <w:kern w:val="0"/>
          <w:sz w:val="28"/>
          <w:szCs w:val="28"/>
          <w14:textFill>
            <w14:solidFill>
              <w14:schemeClr w14:val="tx1"/>
            </w14:solidFill>
          </w14:textFill>
        </w:rPr>
        <w:t>考查课程包括两类，一类是由任课教师随堂完成考试的课程（即随堂考试课程，在教学计划中也显示为考查），其命题、评卷及成绩评定办法与考试课程相同；另一类是入学教育和军训、教育见习、教育实习、专业实习、顶岗实习、毕业设计（论文）等实践类课程，该类课程的考核主要依据学生在该实践环节的出勤、作业、小测验、实验和期末测验来</w:t>
      </w:r>
      <w:r>
        <w:rPr>
          <w:rFonts w:hint="eastAsia" w:ascii="仿宋_GB2312" w:hAnsi="仿宋" w:eastAsia="仿宋_GB2312" w:cs="仿宋"/>
          <w:kern w:val="0"/>
          <w:sz w:val="28"/>
          <w:szCs w:val="28"/>
        </w:rPr>
        <w:t>评定成绩。成绩按优秀（90～100分）、良好（80～89分）、中等（70～79分）、及格（60～69分）、不及格（60分以下）五个等级评定。教师评定考查课程的成绩时，要视该课程的总学时定出平时考核的次数，一般每学期不得少于3-4作业或测试成绩，不能以一次测验来决定该课程的成绩。</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 xml:space="preserve">第八条 </w:t>
      </w:r>
      <w:r>
        <w:rPr>
          <w:rFonts w:hint="eastAsia" w:ascii="仿宋_GB2312" w:hAnsi="仿宋" w:eastAsia="仿宋_GB2312" w:cs="仿宋"/>
          <w:kern w:val="0"/>
          <w:sz w:val="28"/>
          <w:szCs w:val="28"/>
        </w:rPr>
        <w:t>考试由教务处和学院共同组织实施。考查由各学院组织实施。各学院务必于考试周前三周向教务处提交本学期考试课程一览表和考查课程一览表，以便教务处统一安排考试。</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 xml:space="preserve">第九条 </w:t>
      </w:r>
      <w:r>
        <w:rPr>
          <w:rFonts w:hint="eastAsia" w:ascii="仿宋_GB2312" w:hAnsi="仿宋" w:eastAsia="仿宋_GB2312" w:cs="仿宋"/>
          <w:kern w:val="0"/>
          <w:sz w:val="28"/>
          <w:szCs w:val="28"/>
        </w:rPr>
        <w:t>面试考核由学科教研室组织实施。学生在面试前应做好一切准备，在预备室等候，在主考教师点名后应立即进入考场，抽取试题，进行面试。</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 xml:space="preserve">第十条 </w:t>
      </w:r>
      <w:r>
        <w:rPr>
          <w:rFonts w:hint="eastAsia" w:ascii="仿宋_GB2312" w:hAnsi="仿宋" w:eastAsia="仿宋_GB2312" w:cs="仿宋"/>
          <w:kern w:val="0"/>
          <w:sz w:val="28"/>
          <w:szCs w:val="28"/>
        </w:rPr>
        <w:t>实践环节考核以技能考核为主，其考核要求要尽可能与国家职业标准要求接轨。各种实训课程应根据相应的考核标准，采用边实训边考核或实训完毕集中考核等方式进行。</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第十一条</w:t>
      </w:r>
      <w:r>
        <w:rPr>
          <w:rFonts w:hint="eastAsia" w:ascii="仿宋_GB2312" w:hAnsi="仿宋" w:eastAsia="仿宋_GB2312" w:cs="仿宋"/>
          <w:kern w:val="0"/>
          <w:sz w:val="28"/>
          <w:szCs w:val="28"/>
        </w:rPr>
        <w:t xml:space="preserve"> 实习成绩考核内容应包括：职业道德、实习态度、职业能力（专业设计能力、语言文字能力、组织能力和专业技能技巧）和实习效果（具体见《安阳幼儿师范高等专科学校教育实习成绩评定标准》）以及完成实习作业、实习报告等。实习成绩评定由校外实践指导老师、校内专业指导教师（即“双导师”）共同完成，各占50%。</w:t>
      </w:r>
    </w:p>
    <w:p>
      <w:pPr>
        <w:widowControl/>
        <w:shd w:val="clear" w:color="auto" w:fill="FFFFFF"/>
        <w:adjustRightInd w:val="0"/>
        <w:snapToGrid w:val="0"/>
        <w:spacing w:before="120" w:beforeLines="50" w:after="120" w:afterLines="50" w:line="500" w:lineRule="exact"/>
        <w:jc w:val="center"/>
        <w:rPr>
          <w:rFonts w:ascii="黑体" w:hAnsi="黑体" w:eastAsia="黑体" w:cs="黑体"/>
          <w:kern w:val="0"/>
          <w:sz w:val="28"/>
          <w:szCs w:val="28"/>
        </w:rPr>
      </w:pPr>
      <w:r>
        <w:rPr>
          <w:rFonts w:hint="eastAsia" w:ascii="黑体" w:hAnsi="黑体" w:eastAsia="黑体" w:cs="黑体"/>
          <w:kern w:val="0"/>
          <w:sz w:val="28"/>
          <w:szCs w:val="28"/>
        </w:rPr>
        <w:t>第三章 考试命题</w:t>
      </w:r>
    </w:p>
    <w:p>
      <w:pPr>
        <w:pStyle w:val="2"/>
        <w:shd w:val="clear" w:color="auto" w:fill="FFFFFF"/>
        <w:spacing w:before="0" w:beforeAutospacing="0" w:after="0" w:afterAutospacing="0" w:line="500" w:lineRule="exact"/>
        <w:ind w:firstLine="516"/>
        <w:rPr>
          <w:rFonts w:ascii="仿宋_GB2312" w:hAnsi="微软雅黑" w:eastAsia="仿宋_GB2312"/>
          <w:color w:val="000000"/>
          <w:sz w:val="28"/>
          <w:szCs w:val="28"/>
        </w:rPr>
      </w:pPr>
      <w:r>
        <w:rPr>
          <w:rFonts w:hint="eastAsia" w:ascii="仿宋_GB2312" w:hAnsi="仿宋" w:eastAsia="仿宋_GB2312" w:cs="仿宋"/>
          <w:b/>
          <w:sz w:val="28"/>
          <w:szCs w:val="28"/>
        </w:rPr>
        <w:t>第十二条</w:t>
      </w:r>
      <w:r>
        <w:rPr>
          <w:rFonts w:hint="eastAsia" w:eastAsia="仿宋_GB2312"/>
          <w:color w:val="000000"/>
          <w:sz w:val="28"/>
          <w:szCs w:val="28"/>
        </w:rPr>
        <w:t xml:space="preserve"> </w:t>
      </w:r>
      <w:r>
        <w:rPr>
          <w:rFonts w:hint="eastAsia" w:ascii="仿宋_GB2312" w:hAnsi="仿宋" w:eastAsia="仿宋_GB2312"/>
          <w:color w:val="000000"/>
          <w:sz w:val="28"/>
          <w:szCs w:val="28"/>
        </w:rPr>
        <w:t>试卷命题原则</w:t>
      </w:r>
    </w:p>
    <w:p>
      <w:pPr>
        <w:pStyle w:val="2"/>
        <w:shd w:val="clear" w:color="auto" w:fill="FFFFFF"/>
        <w:spacing w:before="0" w:beforeAutospacing="0" w:after="0" w:afterAutospacing="0" w:line="500" w:lineRule="exact"/>
        <w:ind w:firstLine="516"/>
        <w:rPr>
          <w:rFonts w:ascii="仿宋_GB2312" w:hAnsi="微软雅黑" w:eastAsia="仿宋_GB2312"/>
          <w:color w:val="000000"/>
          <w:sz w:val="28"/>
          <w:szCs w:val="28"/>
        </w:rPr>
      </w:pPr>
      <w:r>
        <w:rPr>
          <w:rFonts w:hint="eastAsia" w:ascii="仿宋_GB2312" w:hAnsi="仿宋" w:eastAsia="仿宋_GB2312"/>
          <w:color w:val="000000"/>
          <w:sz w:val="28"/>
          <w:szCs w:val="28"/>
        </w:rPr>
        <w:t>（一）科学性原则。试题无科学性错误；试卷能处理好知识与能力、理论与实践、重点与覆盖面的相互关系。</w:t>
      </w:r>
    </w:p>
    <w:p>
      <w:pPr>
        <w:pStyle w:val="2"/>
        <w:shd w:val="clear" w:color="auto" w:fill="FFFFFF"/>
        <w:spacing w:before="0" w:beforeAutospacing="0" w:after="0" w:afterAutospacing="0" w:line="500" w:lineRule="exact"/>
        <w:ind w:firstLine="516"/>
        <w:rPr>
          <w:rFonts w:ascii="仿宋_GB2312" w:hAnsi="微软雅黑" w:eastAsia="仿宋_GB2312"/>
          <w:color w:val="000000"/>
          <w:sz w:val="28"/>
          <w:szCs w:val="28"/>
        </w:rPr>
      </w:pPr>
      <w:r>
        <w:rPr>
          <w:rFonts w:hint="eastAsia" w:ascii="仿宋_GB2312" w:hAnsi="仿宋" w:eastAsia="仿宋_GB2312"/>
          <w:color w:val="000000"/>
          <w:sz w:val="28"/>
          <w:szCs w:val="28"/>
        </w:rPr>
        <w:t>（二）合理性原则。试卷的内容、范围、深度均符合教学大纲的有关规定；试卷的题型、题量、题分、难度、区分度、认知层次等方面比例分配合理；试题题意表达应当清楚、准确，分值合理，不得出现错别字；试题的措词要严谨明确,避免引起多义、歧义或误解。评分标准简洁、准确，便于把握。</w:t>
      </w:r>
    </w:p>
    <w:p>
      <w:pPr>
        <w:pStyle w:val="2"/>
        <w:shd w:val="clear" w:color="auto" w:fill="FFFFFF"/>
        <w:spacing w:before="0" w:beforeAutospacing="0" w:after="0" w:afterAutospacing="0" w:line="500" w:lineRule="exact"/>
        <w:ind w:firstLine="516"/>
        <w:rPr>
          <w:rFonts w:ascii="仿宋_GB2312" w:hAnsi="仿宋" w:eastAsia="仿宋_GB2312"/>
          <w:color w:val="000000"/>
          <w:sz w:val="28"/>
          <w:szCs w:val="28"/>
        </w:rPr>
      </w:pPr>
      <w:r>
        <w:rPr>
          <w:rFonts w:hint="eastAsia" w:ascii="仿宋_GB2312" w:hAnsi="仿宋" w:eastAsia="仿宋_GB2312"/>
          <w:color w:val="000000"/>
          <w:sz w:val="28"/>
          <w:szCs w:val="28"/>
        </w:rPr>
        <w:t>（三）有效性原则。组成试卷的试题具有代表性，能够准确地测评学生掌握知识的程度和运用知识解决问题的能力。</w:t>
      </w:r>
    </w:p>
    <w:p>
      <w:pPr>
        <w:pStyle w:val="2"/>
        <w:shd w:val="clear" w:color="auto" w:fill="FFFFFF"/>
        <w:spacing w:before="0" w:beforeAutospacing="0" w:after="0" w:afterAutospacing="0" w:line="500" w:lineRule="exact"/>
        <w:ind w:firstLine="516"/>
        <w:rPr>
          <w:rFonts w:ascii="仿宋_GB2312" w:hAnsi="Times New Roman" w:eastAsia="仿宋_GB2312"/>
          <w:color w:val="000000" w:themeColor="text1"/>
          <w:sz w:val="28"/>
          <w:szCs w:val="28"/>
          <w14:textFill>
            <w14:solidFill>
              <w14:schemeClr w14:val="tx1"/>
            </w14:solidFill>
          </w14:textFill>
        </w:rPr>
      </w:pPr>
      <w:r>
        <w:rPr>
          <w:rFonts w:hint="eastAsia" w:ascii="仿宋_GB2312" w:hAnsi="Times New Roman" w:eastAsia="仿宋_GB2312"/>
          <w:b/>
          <w:color w:val="000000" w:themeColor="text1"/>
          <w:sz w:val="28"/>
          <w:szCs w:val="28"/>
          <w14:textFill>
            <w14:solidFill>
              <w14:schemeClr w14:val="tx1"/>
            </w14:solidFill>
          </w14:textFill>
        </w:rPr>
        <w:t>第十三条</w:t>
      </w:r>
      <w:r>
        <w:rPr>
          <w:rFonts w:hint="eastAsia" w:ascii="仿宋_GB2312" w:hAnsi="Times New Roman" w:eastAsia="仿宋_GB2312"/>
          <w:color w:val="000000" w:themeColor="text1"/>
          <w:sz w:val="28"/>
          <w:szCs w:val="28"/>
          <w14:textFill>
            <w14:solidFill>
              <w14:schemeClr w14:val="tx1"/>
            </w14:solidFill>
          </w14:textFill>
        </w:rPr>
        <w:t xml:space="preserve"> 同一份试卷中不得有重复内容；试卷内容与前两届同一课程试卷的重复率不超过30%，不得直接使用近三年已在同类考试中用过的试卷。</w:t>
      </w:r>
    </w:p>
    <w:p>
      <w:pPr>
        <w:spacing w:line="500" w:lineRule="exact"/>
        <w:ind w:firstLine="562" w:firstLineChars="200"/>
        <w:jc w:val="left"/>
        <w:rPr>
          <w:rFonts w:ascii="仿宋_GB2312" w:hAnsi="Times New Roman" w:eastAsia="仿宋_GB2312" w:cs="Times New Roman"/>
          <w:color w:val="FF0000"/>
          <w:kern w:val="0"/>
          <w:sz w:val="28"/>
          <w:szCs w:val="28"/>
        </w:rPr>
      </w:pPr>
      <w:r>
        <w:rPr>
          <w:rFonts w:hint="eastAsia" w:ascii="仿宋_GB2312" w:hAnsi="Times New Roman" w:eastAsia="仿宋_GB2312" w:cs="Times New Roman"/>
          <w:b/>
          <w:color w:val="000000" w:themeColor="text1"/>
          <w:kern w:val="0"/>
          <w:sz w:val="28"/>
          <w:szCs w:val="28"/>
          <w14:textFill>
            <w14:solidFill>
              <w14:schemeClr w14:val="tx1"/>
            </w14:solidFill>
          </w14:textFill>
        </w:rPr>
        <w:t xml:space="preserve">第十四条 </w:t>
      </w:r>
      <w:r>
        <w:rPr>
          <w:rFonts w:hint="eastAsia" w:ascii="仿宋_GB2312" w:hAnsi="Times New Roman" w:eastAsia="仿宋_GB2312" w:cs="Times New Roman"/>
          <w:color w:val="000000" w:themeColor="text1"/>
          <w:kern w:val="0"/>
          <w:sz w:val="28"/>
          <w:szCs w:val="28"/>
          <w14:textFill>
            <w14:solidFill>
              <w14:schemeClr w14:val="tx1"/>
            </w14:solidFill>
          </w14:textFill>
        </w:rPr>
        <w:t>开卷考试的试题应当反映学生发现、分析、解决问题的综合能力和创新能力，其解题过程及答案不应含有可从教材或其它允许携带的资料上直接抄录的内容，不得使学生直接抄录答案。</w:t>
      </w:r>
    </w:p>
    <w:p>
      <w:pPr>
        <w:spacing w:line="500" w:lineRule="exact"/>
        <w:ind w:firstLine="562"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color w:val="000000" w:themeColor="text1"/>
          <w:kern w:val="0"/>
          <w:sz w:val="28"/>
          <w:szCs w:val="28"/>
          <w14:textFill>
            <w14:solidFill>
              <w14:schemeClr w14:val="tx1"/>
            </w14:solidFill>
          </w14:textFill>
        </w:rPr>
        <w:t xml:space="preserve">第十五条 </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考试命题应当以课程教学大纲和学生实际为依据，试题内容应当涵盖教学的全部内容（并与教学大纲中课程目标相对应），分基础、综合、提高三部分命题。  </w:t>
      </w:r>
    </w:p>
    <w:p>
      <w:pPr>
        <w:widowControl/>
        <w:shd w:val="clear" w:color="auto" w:fill="FFFFFF"/>
        <w:adjustRightInd w:val="0"/>
        <w:snapToGrid w:val="0"/>
        <w:spacing w:line="500" w:lineRule="exact"/>
        <w:ind w:firstLine="560" w:firstLineChars="200"/>
        <w:jc w:val="left"/>
        <w:rPr>
          <w:rFonts w:ascii="仿宋_GB2312" w:hAnsi="仿宋" w:eastAsia="仿宋_GB2312" w:cs="仿宋"/>
          <w:kern w:val="0"/>
          <w:sz w:val="28"/>
          <w:szCs w:val="28"/>
        </w:rPr>
      </w:pPr>
      <w:r>
        <w:rPr>
          <w:rFonts w:hint="eastAsia" w:ascii="仿宋_GB2312" w:hAnsi="Times New Roman" w:eastAsia="仿宋_GB2312" w:cs="Times New Roman"/>
          <w:color w:val="000000" w:themeColor="text1"/>
          <w:kern w:val="0"/>
          <w:sz w:val="28"/>
          <w:szCs w:val="28"/>
          <w14:textFill>
            <w14:solidFill>
              <w14:schemeClr w14:val="tx1"/>
            </w14:solidFill>
          </w14:textFill>
        </w:rPr>
        <w:t>（一）基础部分主要考察学生对基础理论、基本知识和基本技能的掌握程度，覆盖面要宽，</w:t>
      </w:r>
      <w:r>
        <w:rPr>
          <w:rFonts w:hint="eastAsia" w:ascii="仿宋_GB2312" w:hAnsi="仿宋" w:eastAsia="仿宋_GB2312" w:cs="仿宋"/>
          <w:kern w:val="0"/>
          <w:sz w:val="28"/>
          <w:szCs w:val="28"/>
        </w:rPr>
        <w:t>其分数要占试卷总分数的60%。</w:t>
      </w:r>
    </w:p>
    <w:p>
      <w:pPr>
        <w:spacing w:line="500" w:lineRule="exact"/>
        <w:ind w:firstLine="560" w:firstLineChars="200"/>
        <w:jc w:val="left"/>
        <w:rPr>
          <w:rFonts w:ascii="仿宋_GB2312" w:hAnsi="仿宋" w:eastAsia="仿宋_GB2312" w:cs="仿宋"/>
          <w:kern w:val="0"/>
          <w:sz w:val="28"/>
          <w:szCs w:val="28"/>
        </w:rPr>
      </w:pPr>
      <w:r>
        <w:rPr>
          <w:rFonts w:hint="eastAsia" w:ascii="仿宋_GB2312" w:hAnsi="Times New Roman" w:eastAsia="仿宋_GB2312" w:cs="Times New Roman"/>
          <w:color w:val="000000" w:themeColor="text1"/>
          <w:kern w:val="0"/>
          <w:sz w:val="28"/>
          <w:szCs w:val="28"/>
          <w14:textFill>
            <w14:solidFill>
              <w14:schemeClr w14:val="tx1"/>
            </w14:solidFill>
          </w14:textFill>
        </w:rPr>
        <w:t>（二）综合部分主要考察学生</w:t>
      </w:r>
      <w:r>
        <w:rPr>
          <w:rFonts w:hint="eastAsia" w:ascii="仿宋_GB2312" w:hAnsi="仿宋" w:eastAsia="仿宋_GB2312" w:cs="仿宋"/>
          <w:kern w:val="0"/>
          <w:sz w:val="28"/>
          <w:szCs w:val="28"/>
        </w:rPr>
        <w:t>对所学知识的综合运用能力，其分数要占试卷总分数的30%左右。</w:t>
      </w:r>
    </w:p>
    <w:p>
      <w:pPr>
        <w:spacing w:line="500" w:lineRule="exact"/>
        <w:ind w:firstLine="560" w:firstLineChars="20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color w:val="000000" w:themeColor="text1"/>
          <w:kern w:val="0"/>
          <w:sz w:val="28"/>
          <w:szCs w:val="28"/>
          <w14:textFill>
            <w14:solidFill>
              <w14:schemeClr w14:val="tx1"/>
            </w14:solidFill>
          </w14:textFill>
        </w:rPr>
        <w:t>（三）提高部分主要考察学生的创新能力、</w:t>
      </w:r>
      <w:r>
        <w:rPr>
          <w:rFonts w:hint="eastAsia" w:ascii="仿宋_GB2312" w:hAnsi="仿宋" w:eastAsia="仿宋_GB2312" w:cs="仿宋"/>
          <w:kern w:val="0"/>
          <w:sz w:val="28"/>
          <w:szCs w:val="28"/>
        </w:rPr>
        <w:t>分析问题和解决问题的能力，</w:t>
      </w:r>
      <w:r>
        <w:rPr>
          <w:rFonts w:hint="eastAsia" w:ascii="仿宋_GB2312" w:hAnsi="Times New Roman" w:eastAsia="仿宋_GB2312" w:cs="Times New Roman"/>
          <w:color w:val="000000" w:themeColor="text1"/>
          <w:kern w:val="0"/>
          <w:sz w:val="28"/>
          <w:szCs w:val="28"/>
          <w14:textFill>
            <w14:solidFill>
              <w14:schemeClr w14:val="tx1"/>
            </w14:solidFill>
          </w14:textFill>
        </w:rPr>
        <w:t>要有相当难度，</w:t>
      </w:r>
      <w:r>
        <w:rPr>
          <w:rFonts w:hint="eastAsia" w:ascii="仿宋_GB2312" w:hAnsi="仿宋" w:eastAsia="仿宋_GB2312" w:cs="仿宋"/>
          <w:kern w:val="0"/>
          <w:sz w:val="28"/>
          <w:szCs w:val="28"/>
        </w:rPr>
        <w:t>其分数占试卷总分数的10%以内。</w:t>
      </w:r>
    </w:p>
    <w:p>
      <w:pPr>
        <w:spacing w:line="500" w:lineRule="exact"/>
        <w:ind w:firstLine="551" w:firstLineChars="196"/>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color w:val="000000" w:themeColor="text1"/>
          <w:kern w:val="0"/>
          <w:sz w:val="28"/>
          <w:szCs w:val="28"/>
          <w14:textFill>
            <w14:solidFill>
              <w14:schemeClr w14:val="tx1"/>
            </w14:solidFill>
          </w14:textFill>
        </w:rPr>
        <w:t xml:space="preserve">第十六条 </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凡同一教学大纲、教材、教学时数相近的课程，都要统一命题统一考试。  </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Times New Roman" w:eastAsia="仿宋_GB2312" w:cs="Times New Roman"/>
          <w:b/>
          <w:color w:val="000000" w:themeColor="text1"/>
          <w:kern w:val="0"/>
          <w:sz w:val="28"/>
          <w:szCs w:val="28"/>
          <w14:textFill>
            <w14:solidFill>
              <w14:schemeClr w14:val="tx1"/>
            </w14:solidFill>
          </w14:textFill>
        </w:rPr>
        <w:t xml:space="preserve">第十七条 </w:t>
      </w:r>
      <w:r>
        <w:rPr>
          <w:rFonts w:hint="eastAsia" w:ascii="仿宋_GB2312" w:hAnsi="Times New Roman" w:eastAsia="仿宋_GB2312" w:cs="Times New Roman"/>
          <w:color w:val="000000" w:themeColor="text1"/>
          <w:kern w:val="0"/>
          <w:sz w:val="28"/>
          <w:szCs w:val="28"/>
          <w14:textFill>
            <w14:solidFill>
              <w14:schemeClr w14:val="tx1"/>
            </w14:solidFill>
          </w14:textFill>
        </w:rPr>
        <w:t>试题应当难度适中，区分度好；应当有较高的信度和较好的效度；理论试卷应当题型多样，一般题型不少于5种，</w:t>
      </w:r>
      <w:r>
        <w:rPr>
          <w:rFonts w:hint="eastAsia" w:ascii="仿宋_GB2312" w:hAnsi="仿宋" w:eastAsia="仿宋_GB2312" w:cs="仿宋"/>
          <w:kern w:val="0"/>
          <w:sz w:val="28"/>
          <w:szCs w:val="28"/>
        </w:rPr>
        <w:t>小题总数一般不少于40个，</w:t>
      </w:r>
      <w:r>
        <w:rPr>
          <w:rFonts w:hint="eastAsia" w:ascii="仿宋_GB2312" w:hAnsi="Times New Roman" w:eastAsia="仿宋_GB2312" w:cs="Times New Roman"/>
          <w:color w:val="000000" w:themeColor="text1"/>
          <w:kern w:val="0"/>
          <w:sz w:val="28"/>
          <w:szCs w:val="28"/>
          <w14:textFill>
            <w14:solidFill>
              <w14:schemeClr w14:val="tx1"/>
            </w14:solidFill>
          </w14:textFill>
        </w:rPr>
        <w:t>可采用填空题、选择题、判断题、名词解释题、简答题、问答题、计算题、分析题、证明题以及论述题等题型。客观性试题原则上不高于卷面总分的50%；</w:t>
      </w:r>
      <w:r>
        <w:rPr>
          <w:rFonts w:hint="eastAsia" w:ascii="仿宋_GB2312" w:hAnsi="仿宋" w:eastAsia="仿宋_GB2312" w:cs="仿宋"/>
          <w:kern w:val="0"/>
          <w:sz w:val="28"/>
          <w:szCs w:val="28"/>
        </w:rPr>
        <w:t>理论和实践一体类课程可以适当减少题型和题量。</w:t>
      </w:r>
      <w:r>
        <w:rPr>
          <w:rFonts w:hint="eastAsia" w:ascii="仿宋_GB2312" w:hAnsi="Times New Roman" w:eastAsia="仿宋_GB2312" w:cs="Times New Roman"/>
          <w:color w:val="000000" w:themeColor="text1"/>
          <w:kern w:val="0"/>
          <w:sz w:val="28"/>
          <w:szCs w:val="28"/>
          <w14:textFill>
            <w14:solidFill>
              <w14:schemeClr w14:val="tx1"/>
            </w14:solidFill>
          </w14:textFill>
        </w:rPr>
        <w:t>所有试题分数之和应当是100分，各题型分数分布要合理，试题应标明分数，考试时间一般为90-120分钟。</w:t>
      </w:r>
    </w:p>
    <w:p>
      <w:pPr>
        <w:spacing w:line="500" w:lineRule="exact"/>
        <w:ind w:firstLine="551" w:firstLineChars="196"/>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color w:val="000000" w:themeColor="text1"/>
          <w:kern w:val="0"/>
          <w:sz w:val="28"/>
          <w:szCs w:val="28"/>
          <w14:textFill>
            <w14:solidFill>
              <w14:schemeClr w14:val="tx1"/>
            </w14:solidFill>
          </w14:textFill>
        </w:rPr>
        <w:t xml:space="preserve">第十八条 </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考试的命题难易度应当有一定的连续性和稳定性，不能因教材的变更或任课教师的改变而出现较大的波动。  </w:t>
      </w:r>
    </w:p>
    <w:p>
      <w:pPr>
        <w:widowControl/>
        <w:shd w:val="clear" w:color="auto" w:fill="FFFFFF"/>
        <w:spacing w:after="50" w:line="500" w:lineRule="exact"/>
        <w:ind w:firstLine="562" w:firstLineChars="200"/>
        <w:jc w:val="left"/>
        <w:rPr>
          <w:rFonts w:ascii="仿宋_GB2312" w:hAnsi="仿宋" w:eastAsia="仿宋_GB2312" w:cs="仿宋"/>
          <w:kern w:val="0"/>
          <w:sz w:val="28"/>
          <w:szCs w:val="28"/>
        </w:rPr>
      </w:pPr>
      <w:r>
        <w:rPr>
          <w:rFonts w:hint="eastAsia" w:ascii="仿宋_GB2312" w:hAnsi="Times New Roman" w:eastAsia="仿宋_GB2312" w:cs="Times New Roman"/>
          <w:b/>
          <w:color w:val="000000" w:themeColor="text1"/>
          <w:kern w:val="0"/>
          <w:sz w:val="28"/>
          <w:szCs w:val="28"/>
          <w14:textFill>
            <w14:solidFill>
              <w14:schemeClr w14:val="tx1"/>
            </w14:solidFill>
          </w14:textFill>
        </w:rPr>
        <w:t xml:space="preserve">第十九条 </w:t>
      </w:r>
      <w:r>
        <w:rPr>
          <w:rFonts w:hint="eastAsia" w:ascii="仿宋_GB2312" w:hAnsi="仿宋" w:eastAsia="仿宋_GB2312" w:cs="仿宋"/>
          <w:kern w:val="0"/>
          <w:sz w:val="28"/>
          <w:szCs w:val="28"/>
        </w:rPr>
        <w:t>公共必修课及其它在两个及两个以上班级统一教授的课程，应根据课程教学大纲统一命题（技能类课程应统一制定考核方案）、统一时间考试，并统一阅卷（技能类统考实行集体评委）。全校的公共必修课要成立3人以上的命题小组，负责考试命题工作；有条件的专业课要成立命题小组；其它课程则由主讲教师按该课程教学大纲命题。</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在条件许可的情况下，全校公共基础课和各专业必修课都要逐步建立试卷库或试题库，实行统一命题、教考分离，部分课程可以聘请校外专家命题。 </w:t>
      </w:r>
      <w:r>
        <w:rPr>
          <w:rFonts w:hint="eastAsia" w:ascii="宋体" w:hAnsi="宋体" w:eastAsia="仿宋_GB2312" w:cs="宋体"/>
          <w:kern w:val="0"/>
          <w:sz w:val="28"/>
          <w:szCs w:val="28"/>
        </w:rPr>
        <w:t> </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Times New Roman" w:eastAsia="仿宋_GB2312" w:cs="Times New Roman"/>
          <w:b/>
          <w:color w:val="000000" w:themeColor="text1"/>
          <w:kern w:val="0"/>
          <w:sz w:val="28"/>
          <w:szCs w:val="28"/>
          <w14:textFill>
            <w14:solidFill>
              <w14:schemeClr w14:val="tx1"/>
            </w14:solidFill>
          </w14:textFill>
        </w:rPr>
        <w:t xml:space="preserve">第二十条 </w:t>
      </w:r>
      <w:r>
        <w:rPr>
          <w:rFonts w:hint="eastAsia" w:ascii="仿宋_GB2312" w:hAnsi="Times New Roman" w:eastAsia="仿宋_GB2312" w:cs="Times New Roman"/>
          <w:color w:val="000000" w:themeColor="text1"/>
          <w:kern w:val="0"/>
          <w:sz w:val="28"/>
          <w:szCs w:val="28"/>
          <w14:textFill>
            <w14:solidFill>
              <w14:schemeClr w14:val="tx1"/>
            </w14:solidFill>
          </w14:textFill>
        </w:rPr>
        <w:t>已建立标准化试题库的课程，必须使用试题库的试题进行考试；未建立试卷库或试题库的课程，必须同时出两套覆盖范围、难易程度、试题数量基本一致且重复率不超过10%的两套试卷，即A、B卷。</w:t>
      </w:r>
      <w:r>
        <w:rPr>
          <w:rFonts w:hint="eastAsia" w:ascii="仿宋_GB2312" w:hAnsi="仿宋" w:eastAsia="仿宋_GB2312" w:cs="仿宋"/>
          <w:kern w:val="0"/>
          <w:sz w:val="28"/>
          <w:szCs w:val="28"/>
        </w:rPr>
        <w:t>试卷格式必须符合学校的统一要求。</w:t>
      </w:r>
    </w:p>
    <w:p>
      <w:pPr>
        <w:spacing w:line="500" w:lineRule="exact"/>
        <w:ind w:firstLine="551" w:firstLineChars="196"/>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color w:val="000000" w:themeColor="text1"/>
          <w:kern w:val="0"/>
          <w:sz w:val="28"/>
          <w:szCs w:val="28"/>
          <w14:textFill>
            <w14:solidFill>
              <w14:schemeClr w14:val="tx1"/>
            </w14:solidFill>
          </w14:textFill>
        </w:rPr>
        <w:t>第二十一条</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 每份试卷同时要提供相应的参考答案和评分标准。客观题答案准确无误，主观题参考答案要给出评分要点和评分标准，评分标准合理，便于掌握。具有多种解法的试题要在参考答案中加以说明。  </w:t>
      </w:r>
    </w:p>
    <w:p>
      <w:pPr>
        <w:spacing w:line="500" w:lineRule="exact"/>
        <w:ind w:firstLine="422" w:firstLineChars="15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color w:val="000000" w:themeColor="text1"/>
          <w:kern w:val="0"/>
          <w:sz w:val="28"/>
          <w:szCs w:val="28"/>
          <w14:textFill>
            <w14:solidFill>
              <w14:schemeClr w14:val="tx1"/>
            </w14:solidFill>
          </w14:textFill>
        </w:rPr>
        <w:t xml:space="preserve">第二十二条 </w:t>
      </w:r>
      <w:r>
        <w:rPr>
          <w:rFonts w:hint="eastAsia" w:ascii="仿宋_GB2312" w:hAnsi="Times New Roman" w:eastAsia="仿宋_GB2312" w:cs="Times New Roman"/>
          <w:color w:val="000000" w:themeColor="text1"/>
          <w:kern w:val="0"/>
          <w:sz w:val="28"/>
          <w:szCs w:val="28"/>
          <w14:textFill>
            <w14:solidFill>
              <w14:schemeClr w14:val="tx1"/>
            </w14:solidFill>
          </w14:textFill>
        </w:rPr>
        <w:t>考试试卷属于保密文件，除命题人员、审核人员外其他人员不得过问和接触试题（试卷）；命题的任课教师不得在考前泄漏试题、暗示试题或划定复习范围；任课教师不能在教室命题，不得将未经使用的试卷带入教室；在计算机上命题的，应注意信息安全保密问题。</w:t>
      </w:r>
    </w:p>
    <w:p>
      <w:pPr>
        <w:widowControl/>
        <w:shd w:val="clear" w:color="auto" w:fill="FFFFFF"/>
        <w:adjustRightInd w:val="0"/>
        <w:snapToGrid w:val="0"/>
        <w:spacing w:before="120" w:beforeLines="50" w:after="120" w:afterLines="50" w:line="500" w:lineRule="exact"/>
        <w:jc w:val="center"/>
        <w:rPr>
          <w:rFonts w:ascii="黑体" w:hAnsi="黑体" w:eastAsia="黑体" w:cs="黑体"/>
          <w:kern w:val="0"/>
          <w:sz w:val="28"/>
          <w:szCs w:val="28"/>
        </w:rPr>
      </w:pPr>
      <w:r>
        <w:rPr>
          <w:rFonts w:hint="eastAsia" w:ascii="黑体" w:hAnsi="黑体" w:eastAsia="黑体" w:cs="黑体"/>
          <w:kern w:val="0"/>
          <w:sz w:val="28"/>
          <w:szCs w:val="28"/>
        </w:rPr>
        <w:t>第四章 试卷的审核</w:t>
      </w:r>
    </w:p>
    <w:p>
      <w:pPr>
        <w:spacing w:line="500" w:lineRule="exact"/>
        <w:ind w:firstLine="703" w:firstLineChars="25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color w:val="000000" w:themeColor="text1"/>
          <w:kern w:val="0"/>
          <w:sz w:val="28"/>
          <w:szCs w:val="28"/>
          <w14:textFill>
            <w14:solidFill>
              <w14:schemeClr w14:val="tx1"/>
            </w14:solidFill>
          </w14:textFill>
        </w:rPr>
        <w:t xml:space="preserve">第二十三条 </w:t>
      </w:r>
      <w:r>
        <w:rPr>
          <w:rFonts w:hint="eastAsia" w:ascii="仿宋_GB2312" w:hAnsi="Times New Roman" w:eastAsia="仿宋_GB2312" w:cs="Times New Roman"/>
          <w:color w:val="000000" w:themeColor="text1"/>
          <w:kern w:val="0"/>
          <w:sz w:val="28"/>
          <w:szCs w:val="28"/>
          <w14:textFill>
            <w14:solidFill>
              <w14:schemeClr w14:val="tx1"/>
            </w14:solidFill>
          </w14:textFill>
        </w:rPr>
        <w:t>考试命题工作在学院分管教学主任的领导下，由教研室具体组织实施。试卷命题结束后，应当经专业负责人、教研室主任或命题组先行审核，经校对无误后，再由学院分管教学的主任进行复核，审核通过后填写《</w:t>
      </w:r>
      <w:r>
        <w:rPr>
          <w:rFonts w:hint="eastAsia" w:ascii="仿宋_GB2312" w:eastAsia="仿宋_GB2312"/>
          <w:bCs/>
          <w:color w:val="000000" w:themeColor="text1"/>
          <w:sz w:val="28"/>
          <w:szCs w:val="28"/>
          <w14:textFill>
            <w14:solidFill>
              <w14:schemeClr w14:val="tx1"/>
            </w14:solidFill>
          </w14:textFill>
        </w:rPr>
        <w:t>安阳幼儿师范高等专科学校课程考试命题合理性审查表</w:t>
      </w:r>
      <w:r>
        <w:rPr>
          <w:rFonts w:hint="eastAsia" w:ascii="仿宋_GB2312" w:hAnsi="Times New Roman" w:eastAsia="仿宋_GB2312" w:cs="Times New Roman"/>
          <w:color w:val="000000" w:themeColor="text1"/>
          <w:kern w:val="0"/>
          <w:sz w:val="28"/>
          <w:szCs w:val="28"/>
          <w14:textFill>
            <w14:solidFill>
              <w14:schemeClr w14:val="tx1"/>
            </w14:solidFill>
          </w14:textFill>
        </w:rPr>
        <w:t>》（见附件1）。</w:t>
      </w:r>
    </w:p>
    <w:p>
      <w:pPr>
        <w:spacing w:line="500" w:lineRule="exact"/>
        <w:ind w:firstLine="703" w:firstLineChars="250"/>
        <w:jc w:val="left"/>
        <w:rPr>
          <w:rFonts w:ascii="仿宋_GB2312" w:hAnsi="Times New Roman" w:eastAsia="仿宋_GB2312" w:cs="Times New Roman"/>
          <w:color w:val="FF0000"/>
          <w:kern w:val="0"/>
          <w:sz w:val="28"/>
          <w:szCs w:val="28"/>
        </w:rPr>
      </w:pPr>
      <w:r>
        <w:rPr>
          <w:rFonts w:hint="eastAsia" w:ascii="仿宋_GB2312" w:hAnsi="Times New Roman" w:eastAsia="仿宋_GB2312" w:cs="Times New Roman"/>
          <w:b/>
          <w:color w:val="000000" w:themeColor="text1"/>
          <w:kern w:val="0"/>
          <w:sz w:val="28"/>
          <w:szCs w:val="28"/>
          <w14:textFill>
            <w14:solidFill>
              <w14:schemeClr w14:val="tx1"/>
            </w14:solidFill>
          </w14:textFill>
        </w:rPr>
        <w:t xml:space="preserve">第二十四条 </w:t>
      </w:r>
      <w:r>
        <w:rPr>
          <w:rFonts w:hint="eastAsia" w:ascii="仿宋_GB2312" w:hAnsi="Times New Roman" w:eastAsia="仿宋_GB2312" w:cs="Times New Roman"/>
          <w:color w:val="000000" w:themeColor="text1"/>
          <w:kern w:val="0"/>
          <w:sz w:val="28"/>
          <w:szCs w:val="28"/>
          <w14:textFill>
            <w14:solidFill>
              <w14:schemeClr w14:val="tx1"/>
            </w14:solidFill>
          </w14:textFill>
        </w:rPr>
        <w:t>审核通过的两套试卷，一套试卷用于考试，另一套作为备用试卷，用于学生补考、缓考。</w:t>
      </w:r>
    </w:p>
    <w:p>
      <w:pPr>
        <w:spacing w:line="500" w:lineRule="exact"/>
        <w:ind w:firstLine="703" w:firstLineChars="250"/>
        <w:jc w:val="left"/>
        <w:rPr>
          <w:rFonts w:ascii="仿宋_GB2312" w:hAnsi="Times New Roman" w:eastAsia="仿宋_GB2312" w:cs="Times New Roman"/>
          <w:color w:val="000000" w:themeColor="text1"/>
          <w:kern w:val="0"/>
          <w:sz w:val="28"/>
          <w:szCs w:val="28"/>
          <w14:textFill>
            <w14:solidFill>
              <w14:schemeClr w14:val="tx1"/>
            </w14:solidFill>
          </w14:textFill>
        </w:rPr>
      </w:pPr>
      <w:r>
        <w:rPr>
          <w:rFonts w:hint="eastAsia" w:ascii="仿宋_GB2312" w:hAnsi="Times New Roman" w:eastAsia="仿宋_GB2312" w:cs="Times New Roman"/>
          <w:b/>
          <w:color w:val="000000" w:themeColor="text1"/>
          <w:kern w:val="0"/>
          <w:sz w:val="28"/>
          <w:szCs w:val="28"/>
          <w14:textFill>
            <w14:solidFill>
              <w14:schemeClr w14:val="tx1"/>
            </w14:solidFill>
          </w14:textFill>
        </w:rPr>
        <w:t xml:space="preserve">第二十五条 </w:t>
      </w:r>
      <w:r>
        <w:rPr>
          <w:rFonts w:hint="eastAsia" w:ascii="仿宋_GB2312" w:hAnsi="Times New Roman" w:eastAsia="仿宋_GB2312" w:cs="Times New Roman"/>
          <w:color w:val="000000" w:themeColor="text1"/>
          <w:kern w:val="0"/>
          <w:sz w:val="28"/>
          <w:szCs w:val="28"/>
          <w14:textFill>
            <w14:solidFill>
              <w14:schemeClr w14:val="tx1"/>
            </w14:solidFill>
          </w14:textFill>
        </w:rPr>
        <w:t xml:space="preserve">审核不通过的试卷，应由命题教师重新进行命题。试卷、参考答案和评分标准，在审核通过后任何人不得改动。如确需变更，应当经学院分管教学主任批准后，重新按照命题审核流程进行审核。  </w:t>
      </w:r>
    </w:p>
    <w:p>
      <w:pPr>
        <w:spacing w:line="500" w:lineRule="exact"/>
        <w:ind w:firstLine="703" w:firstLineChars="250"/>
        <w:jc w:val="left"/>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Times New Roman" w:eastAsia="仿宋_GB2312" w:cs="Times New Roman"/>
          <w:b/>
          <w:color w:val="000000" w:themeColor="text1"/>
          <w:kern w:val="0"/>
          <w:sz w:val="28"/>
          <w:szCs w:val="28"/>
          <w14:textFill>
            <w14:solidFill>
              <w14:schemeClr w14:val="tx1"/>
            </w14:solidFill>
          </w14:textFill>
        </w:rPr>
        <w:t>第二十六条</w:t>
      </w:r>
      <w:r>
        <w:rPr>
          <w:rFonts w:hint="eastAsia" w:ascii="仿宋_GB2312" w:hAnsi="Times New Roman" w:eastAsia="仿宋_GB2312" w:cs="Times New Roman"/>
          <w:color w:val="000000" w:themeColor="text1"/>
          <w:kern w:val="0"/>
          <w:sz w:val="28"/>
          <w:szCs w:val="28"/>
          <w14:textFill>
            <w14:solidFill>
              <w14:schemeClr w14:val="tx1"/>
            </w14:solidFill>
          </w14:textFill>
        </w:rPr>
        <w:t>  考试命题工作一般应在正式考试14天前完成。学院必须在正式考试7天前完成试题的审核和签字程序。</w:t>
      </w:r>
    </w:p>
    <w:p>
      <w:pPr>
        <w:widowControl/>
        <w:shd w:val="clear" w:color="auto" w:fill="FFFFFF"/>
        <w:adjustRightInd w:val="0"/>
        <w:snapToGrid w:val="0"/>
        <w:spacing w:before="120" w:beforeLines="50" w:after="120" w:afterLines="50" w:line="500" w:lineRule="exact"/>
        <w:jc w:val="center"/>
        <w:rPr>
          <w:rFonts w:ascii="黑体" w:hAnsi="黑体" w:eastAsia="黑体" w:cs="黑体"/>
          <w:kern w:val="0"/>
          <w:sz w:val="28"/>
          <w:szCs w:val="28"/>
        </w:rPr>
      </w:pPr>
      <w:r>
        <w:rPr>
          <w:rFonts w:hint="eastAsia" w:ascii="黑体" w:hAnsi="黑体" w:eastAsia="黑体" w:cs="黑体"/>
          <w:kern w:val="0"/>
          <w:sz w:val="28"/>
          <w:szCs w:val="28"/>
        </w:rPr>
        <w:t>第五章 试卷的印制与管理</w:t>
      </w:r>
    </w:p>
    <w:p>
      <w:pPr>
        <w:spacing w:line="500" w:lineRule="exact"/>
        <w:ind w:firstLine="573"/>
        <w:jc w:val="left"/>
        <w:rPr>
          <w:rFonts w:ascii="仿宋_GB2312" w:eastAsia="仿宋_GB2312"/>
          <w:sz w:val="28"/>
          <w:szCs w:val="28"/>
        </w:rPr>
      </w:pPr>
      <w:r>
        <w:rPr>
          <w:rFonts w:hint="eastAsia" w:ascii="仿宋_GB2312" w:hAnsi="仿宋" w:eastAsia="仿宋_GB2312" w:cs="仿宋"/>
          <w:b/>
          <w:kern w:val="0"/>
          <w:sz w:val="28"/>
          <w:szCs w:val="28"/>
        </w:rPr>
        <w:t xml:space="preserve">第二十七条 </w:t>
      </w:r>
      <w:r>
        <w:rPr>
          <w:rFonts w:hint="eastAsia" w:ascii="仿宋_GB2312" w:hAnsi="仿宋" w:eastAsia="仿宋_GB2312"/>
          <w:color w:val="000000"/>
          <w:sz w:val="28"/>
          <w:szCs w:val="28"/>
          <w:shd w:val="clear" w:color="auto" w:fill="FFFFFF"/>
        </w:rPr>
        <w:t>通过审核的试卷</w:t>
      </w:r>
      <w:r>
        <w:rPr>
          <w:rFonts w:hint="eastAsia" w:ascii="仿宋_GB2312" w:hAnsi="仿宋" w:eastAsia="仿宋_GB2312" w:cs="仿宋"/>
          <w:kern w:val="0"/>
          <w:sz w:val="28"/>
          <w:szCs w:val="28"/>
        </w:rPr>
        <w:t>，在规定时间内报送教务处，教务处统一安排试卷印制。</w:t>
      </w:r>
    </w:p>
    <w:p>
      <w:pPr>
        <w:widowControl/>
        <w:shd w:val="clear" w:color="auto" w:fill="FFFFFF"/>
        <w:adjustRightInd w:val="0"/>
        <w:snapToGrid w:val="0"/>
        <w:spacing w:line="500" w:lineRule="exact"/>
        <w:ind w:firstLine="562" w:firstLineChars="200"/>
        <w:jc w:val="left"/>
        <w:rPr>
          <w:rFonts w:ascii="仿宋_GB2312" w:hAnsi="仿宋" w:eastAsia="仿宋_GB2312" w:cs="仿宋"/>
          <w:b/>
          <w:kern w:val="0"/>
          <w:sz w:val="28"/>
          <w:szCs w:val="28"/>
        </w:rPr>
      </w:pPr>
      <w:r>
        <w:rPr>
          <w:rFonts w:hint="eastAsia" w:ascii="仿宋_GB2312" w:hAnsi="仿宋" w:eastAsia="仿宋_GB2312" w:cs="仿宋"/>
          <w:b/>
          <w:kern w:val="0"/>
          <w:sz w:val="28"/>
          <w:szCs w:val="28"/>
        </w:rPr>
        <w:t xml:space="preserve">第二十八条 </w:t>
      </w:r>
      <w:r>
        <w:rPr>
          <w:rFonts w:hint="eastAsia" w:ascii="仿宋_GB2312" w:hAnsi="仿宋" w:eastAsia="仿宋_GB2312" w:cs="仿宋"/>
          <w:kern w:val="0"/>
          <w:sz w:val="28"/>
          <w:szCs w:val="28"/>
        </w:rPr>
        <w:t>试卷印制工作由专人负责，在试卷印制以及交接等过程中应当始终加强试卷的安全保密工作，防止试卷泄密或丢失。在试卷印制期间，除工作人员外其他人员不经批准不得进入试卷印刷现场。制卷教师及接触过试卷的工作人员不得以任何方式泄露试题内容。试卷印制完毕，由专人负责运送至各学院，各学院接收试卷后，要有专人负责保管。如发生泄漏或变相泄漏试题现象，按教学事故追究有关人员责任，给予严肃处理。</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 xml:space="preserve">第二十九条 </w:t>
      </w:r>
      <w:r>
        <w:rPr>
          <w:rFonts w:hint="eastAsia" w:ascii="仿宋_GB2312" w:hAnsi="仿宋" w:eastAsia="仿宋_GB2312" w:cs="仿宋"/>
          <w:kern w:val="0"/>
          <w:sz w:val="28"/>
          <w:szCs w:val="28"/>
        </w:rPr>
        <w:t>试卷保管应当注意防火、防盗、防潮，确保试卷安全。</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 xml:space="preserve">第三十条 </w:t>
      </w:r>
      <w:r>
        <w:rPr>
          <w:rFonts w:hint="eastAsia" w:ascii="仿宋_GB2312" w:hAnsi="仿宋" w:eastAsia="仿宋_GB2312" w:cs="仿宋"/>
          <w:kern w:val="0"/>
          <w:sz w:val="28"/>
          <w:szCs w:val="28"/>
        </w:rPr>
        <w:t>监考教师应在考试前15分钟到学院考务办公室领取试卷，并检查试卷课程名称、考试地点、试卷份数是否正确，发现问题及时上报学院。</w:t>
      </w:r>
    </w:p>
    <w:p>
      <w:pPr>
        <w:widowControl/>
        <w:shd w:val="clear" w:color="auto" w:fill="FFFFFF"/>
        <w:adjustRightInd w:val="0"/>
        <w:snapToGrid w:val="0"/>
        <w:spacing w:before="120" w:beforeLines="50" w:after="120" w:afterLines="50" w:line="500" w:lineRule="exact"/>
        <w:jc w:val="center"/>
        <w:rPr>
          <w:rFonts w:ascii="黑体" w:hAnsi="黑体" w:eastAsia="黑体" w:cs="黑体"/>
          <w:kern w:val="0"/>
          <w:sz w:val="28"/>
          <w:szCs w:val="28"/>
        </w:rPr>
      </w:pPr>
      <w:r>
        <w:rPr>
          <w:rFonts w:hint="eastAsia" w:ascii="黑体" w:hAnsi="黑体" w:eastAsia="黑体" w:cs="黑体"/>
          <w:kern w:val="0"/>
          <w:sz w:val="28"/>
          <w:szCs w:val="28"/>
        </w:rPr>
        <w:t>第六章 考试的组织与实施</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 xml:space="preserve">第三十一条 </w:t>
      </w:r>
      <w:r>
        <w:rPr>
          <w:rFonts w:hint="eastAsia" w:ascii="仿宋_GB2312" w:hAnsi="仿宋" w:eastAsia="仿宋_GB2312" w:cs="仿宋"/>
          <w:kern w:val="0"/>
          <w:sz w:val="28"/>
          <w:szCs w:val="28"/>
        </w:rPr>
        <w:t>学校考试工作在主管校长领导下，教务处负责协调，各学院负责组织实施，确保学校的考试工作公平、科学、规范地进行。</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 xml:space="preserve">第三十二条 </w:t>
      </w:r>
      <w:r>
        <w:rPr>
          <w:rFonts w:hint="eastAsia" w:ascii="仿宋_GB2312" w:hAnsi="仿宋" w:eastAsia="仿宋_GB2312" w:cs="仿宋"/>
          <w:kern w:val="0"/>
          <w:sz w:val="28"/>
          <w:szCs w:val="28"/>
        </w:rPr>
        <w:t>教务处负责公布全校考试日程安排；统筹协调全校考场分配和监考教师选派；对考试组织、考场纪律等环节进行督促和检查；汇总考试中违纪、作弊学生的信息；汇总全校考试结果，评价考试质量。</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 xml:space="preserve">第三十三条 </w:t>
      </w:r>
      <w:r>
        <w:rPr>
          <w:rFonts w:hint="eastAsia" w:ascii="仿宋_GB2312" w:hAnsi="仿宋" w:eastAsia="仿宋_GB2312" w:cs="仿宋"/>
          <w:kern w:val="0"/>
          <w:sz w:val="28"/>
          <w:szCs w:val="28"/>
        </w:rPr>
        <w:t>各学院成立以教学主任任组长的考试工作领导小组，负责本学院考试的统筹安排工作，主要包括：召开诚信考试主题班会，签订诚信考试承诺书，加强考风考纪教育工作；制定并发布本学院各专业各年级考试时间、考场、监考安排表；完成考试组织与考场巡查工作；上报考试中违纪、作弊学生材料等工作；考试工作结束后撰写考试工作总结，交教务处备案。</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 xml:space="preserve">第三十四条 </w:t>
      </w:r>
      <w:r>
        <w:rPr>
          <w:rFonts w:hint="eastAsia" w:ascii="仿宋_GB2312" w:hAnsi="仿宋" w:eastAsia="仿宋_GB2312" w:cs="仿宋"/>
          <w:kern w:val="0"/>
          <w:sz w:val="28"/>
          <w:szCs w:val="28"/>
        </w:rPr>
        <w:t>考试期间，学校成立考风考纪督察巡视组，分管教学的校领导任组长，成员由监察处、教务处、学生处和人事处等部门负责人组成，对各学院考试工作的安排、组织、管理、考风考纪等全过程进行督察和巡视。</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 xml:space="preserve">第三十五条 </w:t>
      </w:r>
      <w:r>
        <w:rPr>
          <w:rFonts w:hint="eastAsia" w:ascii="仿宋_GB2312" w:hAnsi="仿宋" w:eastAsia="仿宋_GB2312" w:cs="仿宋"/>
          <w:kern w:val="0"/>
          <w:sz w:val="28"/>
          <w:szCs w:val="28"/>
        </w:rPr>
        <w:t>考场要求单人单桌、间隔排列。若考试班级多，难以达到上述要求，必须不同考试课程穿插排列。每个考场至少安排两名监考。监考教师要履行《监考守则》，严肃认真地进行监考工作。学生必须按公布的考试时间、地点参加考试，必须遵守《考场规则》。</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 xml:space="preserve">第三十六条 </w:t>
      </w:r>
      <w:r>
        <w:rPr>
          <w:rFonts w:hint="eastAsia" w:ascii="仿宋_GB2312" w:hAnsi="仿宋" w:eastAsia="仿宋_GB2312" w:cs="仿宋"/>
          <w:kern w:val="0"/>
          <w:sz w:val="28"/>
          <w:szCs w:val="28"/>
        </w:rPr>
        <w:t>考试结束，监考教师应在考生离开考场前按照座号由小到大的顺序逐人收缴试卷，收齐所有试卷后要环顾整个考场，查看是否有遗漏，并清点试卷份数，清点无误后方可让学生离开考场。监考教师需在考场内将试卷密封，并认真填写《考场记录》，再将试卷与《考场记录》一并交学院考务办公室。</w:t>
      </w:r>
    </w:p>
    <w:p>
      <w:pPr>
        <w:widowControl/>
        <w:shd w:val="clear" w:color="auto" w:fill="FFFFFF"/>
        <w:adjustRightInd w:val="0"/>
        <w:snapToGrid w:val="0"/>
        <w:spacing w:before="120" w:beforeLines="50" w:after="120" w:afterLines="50" w:line="500" w:lineRule="exact"/>
        <w:jc w:val="center"/>
        <w:rPr>
          <w:rFonts w:ascii="黑体" w:hAnsi="黑体" w:eastAsia="黑体" w:cs="黑体"/>
          <w:kern w:val="0"/>
          <w:sz w:val="28"/>
          <w:szCs w:val="28"/>
        </w:rPr>
      </w:pPr>
      <w:r>
        <w:rPr>
          <w:rFonts w:hint="eastAsia" w:ascii="黑体" w:hAnsi="黑体" w:eastAsia="黑体" w:cs="黑体"/>
          <w:kern w:val="0"/>
          <w:sz w:val="28"/>
          <w:szCs w:val="28"/>
        </w:rPr>
        <w:t>第七章 成绩评定与管理</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 xml:space="preserve">第三十七条 </w:t>
      </w:r>
      <w:r>
        <w:rPr>
          <w:rFonts w:hint="eastAsia" w:ascii="仿宋_GB2312" w:hAnsi="仿宋" w:eastAsia="仿宋_GB2312" w:cs="仿宋"/>
          <w:kern w:val="0"/>
          <w:sz w:val="28"/>
          <w:szCs w:val="28"/>
        </w:rPr>
        <w:t>课程成绩的评定方式由各学院根据课程性质和特点确定。平时成绩所占比例原则上不得超过50%。平时成绩所占比例以教务管理系统设置为准，如确需变动请于学期初以学院为单位提出变动申请，经教务处审批通过后方能变动。任课教师要做好平时成绩记录，将过程考核的成绩登记在教师日志上，并在录入教务管理网络系统后交学院存档备查。</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 xml:space="preserve">第三十八条 </w:t>
      </w:r>
      <w:r>
        <w:rPr>
          <w:rFonts w:hint="eastAsia" w:ascii="仿宋_GB2312" w:hAnsi="仿宋" w:eastAsia="仿宋_GB2312" w:cs="仿宋"/>
          <w:kern w:val="0"/>
          <w:sz w:val="28"/>
          <w:szCs w:val="28"/>
        </w:rPr>
        <w:t xml:space="preserve">所有课程的试卷应密封装订。教师必须严格按照评分标准阅卷，阅卷符号和数字必须清晰、准确，卷面只出现得分、不出现扣分（负分）。阅卷结束后要签署阅卷教师姓名。有2名或2名以上任课教师的考试课程，实行集体阅卷，分工负责，流水作业，统一评分标准。 </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 xml:space="preserve">第三十九条 </w:t>
      </w:r>
      <w:r>
        <w:rPr>
          <w:rFonts w:hint="eastAsia" w:ascii="仿宋_GB2312" w:hAnsi="仿宋" w:eastAsia="仿宋_GB2312" w:cs="仿宋"/>
          <w:kern w:val="0"/>
          <w:sz w:val="28"/>
          <w:szCs w:val="28"/>
        </w:rPr>
        <w:t>评卷结束，任课教师应尽快将卷面成绩登记在教师日志上，五日内将任教班级的平时成绩和期末考试成绩一并录入教务网络管理系统，由系统生成成绩单并打印（一式两份），本人签字后交于所属学院。学院收齐之后一份交教务处，一份学院留存。</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 xml:space="preserve">第四十条 </w:t>
      </w:r>
      <w:r>
        <w:rPr>
          <w:rFonts w:hint="eastAsia" w:ascii="仿宋_GB2312" w:hAnsi="仿宋" w:eastAsia="仿宋_GB2312" w:cs="仿宋"/>
          <w:kern w:val="0"/>
          <w:sz w:val="28"/>
          <w:szCs w:val="28"/>
        </w:rPr>
        <w:t>成绩录入完成后，笔试类课程任课教师要写出试卷分析，技能类课程任课教师要写出学生考试（或考查）成绩分析，于考试后一周内交所在的学院。各学院及学科教研室要认真及时地做好各门课程考试的总结工作，并以书面报告形式报教务处。</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 xml:space="preserve">第四十一条 </w:t>
      </w:r>
      <w:r>
        <w:rPr>
          <w:rFonts w:hint="eastAsia" w:ascii="仿宋_GB2312" w:hAnsi="仿宋" w:eastAsia="仿宋_GB2312" w:cs="仿宋"/>
          <w:kern w:val="0"/>
          <w:sz w:val="28"/>
          <w:szCs w:val="28"/>
        </w:rPr>
        <w:t>任何人不得向任课教师施加压力或影响，要求改变成绩，或为学生的作弊行为讲情，违者给予通报批评直至行政处分。</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 xml:space="preserve">第四十二条 </w:t>
      </w:r>
      <w:r>
        <w:rPr>
          <w:rFonts w:hint="eastAsia" w:ascii="仿宋_GB2312" w:hAnsi="仿宋" w:eastAsia="仿宋_GB2312" w:cs="仿宋"/>
          <w:kern w:val="0"/>
          <w:sz w:val="28"/>
          <w:szCs w:val="28"/>
        </w:rPr>
        <w:t>所有列入教学计划的课程（包括实践教学各环节）的考核成绩应及时录入教务管理网络系统，不得在学生毕业前集中录入。学生毕业前，各学院通过教务网络管理系统统一打印《安阳幼儿师范高等专科学校学生成绩登记表》（每生一式两份），由各学院主任审查签字后报教务处审核。教务处审核合格并盖章后，一份归入学生档案，另一份由教务处移交学校档案室，长期保存。</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 xml:space="preserve">第四十三条 </w:t>
      </w:r>
      <w:r>
        <w:rPr>
          <w:rFonts w:hint="eastAsia" w:ascii="仿宋_GB2312" w:hAnsi="仿宋" w:eastAsia="仿宋_GB2312" w:cs="仿宋"/>
          <w:kern w:val="0"/>
          <w:sz w:val="28"/>
          <w:szCs w:val="28"/>
        </w:rPr>
        <w:t>学生考试成绩单是学生个人和学校教学工作的重要档案。教师在进行学生考试成绩的登记、录入工作时，务必要严肃认真，避免出现登记和录入错误。对于错登、漏登等特殊情况确需更正的，须由任课教师提出成绩更正申请，经学院主管教学工作的主任签署意见，报教务处批准后方可更改。</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 xml:space="preserve">第四十四条 </w:t>
      </w:r>
      <w:r>
        <w:rPr>
          <w:rFonts w:hint="eastAsia" w:ascii="仿宋_GB2312" w:hAnsi="仿宋" w:eastAsia="仿宋_GB2312" w:cs="仿宋"/>
          <w:kern w:val="0"/>
          <w:sz w:val="28"/>
          <w:szCs w:val="28"/>
        </w:rPr>
        <w:t>已评阅的试卷由各学院按班级、课程装订成册，妥善保存，以备查阅。直至学生毕业三年后方可集中销毁。</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 xml:space="preserve">第四十五条 </w:t>
      </w:r>
      <w:r>
        <w:rPr>
          <w:rFonts w:hint="eastAsia" w:ascii="仿宋_GB2312" w:hAnsi="仿宋" w:eastAsia="仿宋_GB2312" w:cs="仿宋"/>
          <w:kern w:val="0"/>
          <w:sz w:val="28"/>
          <w:szCs w:val="28"/>
        </w:rPr>
        <w:t>课程考核成绩由学生所在学院向学生公布。学生对成绩有异议的，可在新学期开学一周内申请查阅试卷。查阅试卷由学生所在学院负责安排。确属评卷、分数复核、成绩登记或录入等环节出现错误的，责成任课教师修改，并按规定对相关教师（含集体阅卷者）做出相应的处理。</w:t>
      </w:r>
    </w:p>
    <w:p>
      <w:pPr>
        <w:widowControl/>
        <w:shd w:val="clear" w:color="auto" w:fill="FFFFFF"/>
        <w:adjustRightInd w:val="0"/>
        <w:snapToGrid w:val="0"/>
        <w:spacing w:before="120" w:beforeLines="50" w:after="120" w:afterLines="50" w:line="500" w:lineRule="exact"/>
        <w:jc w:val="center"/>
        <w:rPr>
          <w:rFonts w:ascii="黑体" w:hAnsi="黑体" w:eastAsia="黑体" w:cs="黑体"/>
          <w:kern w:val="0"/>
          <w:sz w:val="28"/>
          <w:szCs w:val="28"/>
        </w:rPr>
      </w:pPr>
      <w:r>
        <w:rPr>
          <w:rFonts w:hint="eastAsia" w:ascii="黑体" w:hAnsi="黑体" w:eastAsia="黑体" w:cs="黑体"/>
          <w:kern w:val="0"/>
          <w:sz w:val="28"/>
          <w:szCs w:val="28"/>
        </w:rPr>
        <w:t>第八章  缓考、补考及重修</w:t>
      </w:r>
    </w:p>
    <w:p>
      <w:pPr>
        <w:widowControl/>
        <w:shd w:val="clear" w:color="auto" w:fill="FFFFFF"/>
        <w:adjustRightInd w:val="0"/>
        <w:snapToGrid w:val="0"/>
        <w:spacing w:line="500" w:lineRule="exact"/>
        <w:ind w:firstLine="562"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b/>
          <w:color w:val="000000" w:themeColor="text1"/>
          <w:kern w:val="0"/>
          <w:sz w:val="28"/>
          <w:szCs w:val="28"/>
          <w14:textFill>
            <w14:solidFill>
              <w14:schemeClr w14:val="tx1"/>
            </w14:solidFill>
          </w14:textFill>
        </w:rPr>
        <w:t xml:space="preserve">第四十六条 </w:t>
      </w:r>
      <w:r>
        <w:rPr>
          <w:rFonts w:hint="eastAsia" w:ascii="仿宋_GB2312" w:hAnsi="仿宋" w:eastAsia="仿宋_GB2312" w:cs="仿宋"/>
          <w:color w:val="000000" w:themeColor="text1"/>
          <w:kern w:val="0"/>
          <w:sz w:val="28"/>
          <w:szCs w:val="28"/>
          <w14:textFill>
            <w14:solidFill>
              <w14:schemeClr w14:val="tx1"/>
            </w14:solidFill>
          </w14:textFill>
        </w:rPr>
        <w:t>缓考</w:t>
      </w:r>
    </w:p>
    <w:p>
      <w:pPr>
        <w:widowControl/>
        <w:shd w:val="clear" w:color="auto" w:fill="FFFFFF"/>
        <w:adjustRightInd w:val="0"/>
        <w:snapToGrid w:val="0"/>
        <w:spacing w:line="50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（一）学生因疾病等特殊原因而不能正常参加考试的，必须在考试前提出书面申请（因病缓考须持医院诊断证明），经学院主任签字同意，报教务处批准后，方可缓考，否则，按旷考处理。</w:t>
      </w:r>
      <w:r>
        <w:rPr>
          <w:rFonts w:hint="eastAsia" w:ascii="仿宋_GB2312" w:hAnsi="仿宋" w:eastAsia="仿宋_GB2312" w:cs="仿宋"/>
          <w:color w:val="000000" w:themeColor="text1"/>
          <w:sz w:val="28"/>
          <w:szCs w:val="28"/>
          <w14:textFill>
            <w14:solidFill>
              <w14:schemeClr w14:val="tx1"/>
            </w14:solidFill>
          </w14:textFill>
        </w:rPr>
        <w:t>除急病外一般不得临考前或进考场后申请缓考，更不得在本门课程考试结束后申请缓考。</w:t>
      </w:r>
    </w:p>
    <w:p>
      <w:pPr>
        <w:widowControl/>
        <w:shd w:val="clear" w:color="auto" w:fill="FFFFFF"/>
        <w:adjustRightInd w:val="0"/>
        <w:snapToGrid w:val="0"/>
        <w:spacing w:line="50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（二）对学生缓考，各学院应从严掌握，因事缓考一般不予批准。</w:t>
      </w:r>
    </w:p>
    <w:p>
      <w:pPr>
        <w:widowControl/>
        <w:shd w:val="clear" w:color="auto" w:fill="FFFFFF"/>
        <w:adjustRightInd w:val="0"/>
        <w:snapToGrid w:val="0"/>
        <w:spacing w:line="50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（三）缓考课程考核与补考同时进行，缓考成绩按正常考核登记。</w:t>
      </w:r>
    </w:p>
    <w:p>
      <w:pPr>
        <w:widowControl/>
        <w:shd w:val="clear" w:color="auto" w:fill="FFFFFF"/>
        <w:adjustRightInd w:val="0"/>
        <w:snapToGrid w:val="0"/>
        <w:spacing w:line="50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（四）缓考视同放弃一次考试机会，缓考不及格视同补考不及格。缓考不及格者可申请重修。</w:t>
      </w:r>
    </w:p>
    <w:p>
      <w:pPr>
        <w:widowControl/>
        <w:shd w:val="clear" w:color="auto" w:fill="FFFFFF"/>
        <w:adjustRightInd w:val="0"/>
        <w:snapToGrid w:val="0"/>
        <w:spacing w:line="500" w:lineRule="exact"/>
        <w:ind w:firstLine="562"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b/>
          <w:color w:val="000000" w:themeColor="text1"/>
          <w:kern w:val="0"/>
          <w:sz w:val="28"/>
          <w:szCs w:val="28"/>
          <w14:textFill>
            <w14:solidFill>
              <w14:schemeClr w14:val="tx1"/>
            </w14:solidFill>
          </w14:textFill>
        </w:rPr>
        <w:t xml:space="preserve">第四十七条 </w:t>
      </w:r>
      <w:r>
        <w:rPr>
          <w:rFonts w:hint="eastAsia" w:ascii="仿宋_GB2312" w:hAnsi="仿宋" w:eastAsia="仿宋_GB2312" w:cs="仿宋"/>
          <w:color w:val="000000" w:themeColor="text1"/>
          <w:kern w:val="0"/>
          <w:sz w:val="28"/>
          <w:szCs w:val="28"/>
          <w14:textFill>
            <w14:solidFill>
              <w14:schemeClr w14:val="tx1"/>
            </w14:solidFill>
          </w14:textFill>
        </w:rPr>
        <w:t>补考</w:t>
      </w:r>
    </w:p>
    <w:p>
      <w:pPr>
        <w:widowControl/>
        <w:shd w:val="clear" w:color="auto" w:fill="FFFFFF"/>
        <w:adjustRightInd w:val="0"/>
        <w:snapToGrid w:val="0"/>
        <w:spacing w:line="50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（一）每学期学生</w:t>
      </w:r>
      <w:r>
        <w:rPr>
          <w:rFonts w:hint="eastAsia" w:ascii="仿宋_GB2312" w:hAnsi="仿宋" w:eastAsia="仿宋_GB2312" w:cs="仿宋"/>
          <w:color w:val="000000" w:themeColor="text1"/>
          <w:sz w:val="28"/>
          <w:szCs w:val="28"/>
          <w14:textFill>
            <w14:solidFill>
              <w14:schemeClr w14:val="tx1"/>
            </w14:solidFill>
          </w14:textFill>
        </w:rPr>
        <w:t>考试、考查成绩不及格，且属允许补考范围的，可于下学期初参加补考，补考事宜由教务处和相关学院共同完成。公共必修课由教务处统一安排时间补考，专业课由各学院自行安排时间补考，一般每学期开学第3周（笔试类课程补考）和第4周（技能类课程补考）为补考时间。学生必须持学生证、身份证按教务处或所在学院公布的补考科目、时间、地点参加补考。无故不参加补考者，以放弃这次补考机会论处，不再另行安排补考。</w:t>
      </w:r>
      <w:r>
        <w:rPr>
          <w:rFonts w:hint="eastAsia" w:ascii="仿宋_GB2312" w:hAnsi="仿宋" w:eastAsia="仿宋_GB2312" w:cs="仿宋"/>
          <w:color w:val="000000" w:themeColor="text1"/>
          <w:kern w:val="0"/>
          <w:sz w:val="28"/>
          <w:szCs w:val="28"/>
          <w14:textFill>
            <w14:solidFill>
              <w14:schemeClr w14:val="tx1"/>
            </w14:solidFill>
          </w14:textFill>
        </w:rPr>
        <w:t>补考仍不及格者，可申请重修，重修课程不安排补考机会；毕业前仍有课程考核不及格者，可在离校一年内提出重修申请，学校安排重修考核。</w:t>
      </w:r>
    </w:p>
    <w:p>
      <w:pPr>
        <w:pStyle w:val="2"/>
        <w:spacing w:before="0" w:beforeAutospacing="0" w:after="0" w:afterAutospacing="0" w:line="500" w:lineRule="exact"/>
        <w:ind w:firstLine="560" w:firstLineChars="200"/>
        <w:rPr>
          <w:rFonts w:ascii="仿宋_GB2312" w:hAnsi="仿宋" w:eastAsia="仿宋_GB2312" w:cs="仿宋"/>
          <w:color w:val="000000" w:themeColor="text1"/>
          <w:kern w:val="2"/>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（二）文化课</w:t>
      </w:r>
      <w:r>
        <w:rPr>
          <w:rFonts w:hint="eastAsia" w:ascii="仿宋_GB2312" w:hAnsi="仿宋" w:eastAsia="仿宋_GB2312" w:cs="仿宋"/>
          <w:color w:val="000000" w:themeColor="text1"/>
          <w:kern w:val="2"/>
          <w:sz w:val="28"/>
          <w:szCs w:val="28"/>
          <w14:textFill>
            <w14:solidFill>
              <w14:schemeClr w14:val="tx1"/>
            </w14:solidFill>
          </w14:textFill>
        </w:rPr>
        <w:t>补考成绩由平时成绩和补考考试成绩两部分构成，其中补考平时成绩以上学期所得平时成绩为准，补考笔试成绩以卷面实际得分为准，然后按原权重比例计入补考成绩。补考成绩在录入教务网络管理系统时按实际成绩录入，成绩标注补考字样，不及格成绩按实际成绩录入。补考成绩由课程承担单位的教学秘书录入教务网络管理系统。</w:t>
      </w:r>
    </w:p>
    <w:p>
      <w:pPr>
        <w:pStyle w:val="2"/>
        <w:spacing w:before="0" w:beforeAutospacing="0" w:after="0" w:afterAutospacing="0" w:line="500" w:lineRule="exact"/>
        <w:ind w:firstLine="560" w:firstLineChars="200"/>
        <w:rPr>
          <w:rFonts w:ascii="仿宋_GB2312" w:hAnsi="仿宋" w:eastAsia="仿宋_GB2312" w:cs="仿宋"/>
          <w:color w:val="000000" w:themeColor="text1"/>
          <w:kern w:val="2"/>
          <w:sz w:val="28"/>
          <w:szCs w:val="28"/>
          <w14:textFill>
            <w14:solidFill>
              <w14:schemeClr w14:val="tx1"/>
            </w14:solidFill>
          </w14:textFill>
        </w:rPr>
      </w:pPr>
      <w:r>
        <w:rPr>
          <w:rFonts w:hint="eastAsia" w:ascii="仿宋_GB2312" w:hAnsi="仿宋" w:eastAsia="仿宋_GB2312" w:cs="仿宋"/>
          <w:color w:val="000000" w:themeColor="text1"/>
          <w:kern w:val="2"/>
          <w:sz w:val="28"/>
          <w:szCs w:val="28"/>
          <w14:textFill>
            <w14:solidFill>
              <w14:schemeClr w14:val="tx1"/>
            </w14:solidFill>
          </w14:textFill>
        </w:rPr>
        <w:t>（三）技能课补考不进行结构化计算（即不计平时成绩），补考成绩如实记录，成绩标注补考字样，不及格成绩按实际成绩记录。</w:t>
      </w:r>
    </w:p>
    <w:p>
      <w:pPr>
        <w:pStyle w:val="2"/>
        <w:spacing w:before="0" w:beforeAutospacing="0" w:after="0" w:afterAutospacing="0" w:line="500" w:lineRule="exact"/>
        <w:ind w:firstLine="560" w:firstLineChars="200"/>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四）无论是文化课补考，还是技能课补考，无论是文化课补考命题，还是技能课补考方案，无论是文化课补考监考，还是文化课补考阅卷，都要严格按照正常考试标准执行，不得降低考试难度，要杜绝监考不严、阅卷送分等现象。</w:t>
      </w:r>
    </w:p>
    <w:p>
      <w:pPr>
        <w:widowControl/>
        <w:shd w:val="clear" w:color="auto" w:fill="FFFFFF"/>
        <w:adjustRightInd w:val="0"/>
        <w:snapToGrid w:val="0"/>
        <w:spacing w:line="500" w:lineRule="exact"/>
        <w:ind w:firstLine="560"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（五）考试作弊或无故旷考者不准正常补考，可申请重修。</w:t>
      </w:r>
    </w:p>
    <w:p>
      <w:pPr>
        <w:widowControl/>
        <w:shd w:val="clear" w:color="auto" w:fill="FFFFFF"/>
        <w:adjustRightInd w:val="0"/>
        <w:snapToGrid w:val="0"/>
        <w:spacing w:line="500" w:lineRule="exact"/>
        <w:ind w:firstLine="562" w:firstLineChars="200"/>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b/>
          <w:color w:val="000000" w:themeColor="text1"/>
          <w:kern w:val="0"/>
          <w:sz w:val="28"/>
          <w:szCs w:val="28"/>
          <w14:textFill>
            <w14:solidFill>
              <w14:schemeClr w14:val="tx1"/>
            </w14:solidFill>
          </w14:textFill>
        </w:rPr>
        <w:t xml:space="preserve">第四十八条 </w:t>
      </w:r>
      <w:r>
        <w:rPr>
          <w:rFonts w:hint="eastAsia" w:ascii="仿宋_GB2312" w:hAnsi="仿宋" w:eastAsia="仿宋_GB2312" w:cs="仿宋"/>
          <w:color w:val="000000" w:themeColor="text1"/>
          <w:kern w:val="0"/>
          <w:sz w:val="28"/>
          <w:szCs w:val="28"/>
          <w14:textFill>
            <w14:solidFill>
              <w14:schemeClr w14:val="tx1"/>
            </w14:solidFill>
          </w14:textFill>
        </w:rPr>
        <w:t>重修</w:t>
      </w:r>
    </w:p>
    <w:p>
      <w:pPr>
        <w:widowControl/>
        <w:shd w:val="clear" w:color="auto" w:fill="FFFFFF"/>
        <w:adjustRightInd w:val="0"/>
        <w:snapToGrid w:val="0"/>
        <w:spacing w:line="500" w:lineRule="exact"/>
        <w:ind w:firstLine="645"/>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（一）课程补考不及格者可向学院书面提出课程重修申请。课程重修方式可选择“随下一年级听课”或“自修”。</w:t>
      </w:r>
    </w:p>
    <w:p>
      <w:pPr>
        <w:widowControl/>
        <w:shd w:val="clear" w:color="auto" w:fill="FFFFFF"/>
        <w:adjustRightInd w:val="0"/>
        <w:snapToGrid w:val="0"/>
        <w:spacing w:line="500" w:lineRule="exact"/>
        <w:ind w:firstLine="645"/>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（二）每门课程只允许重修两次。</w:t>
      </w:r>
    </w:p>
    <w:p>
      <w:pPr>
        <w:widowControl/>
        <w:shd w:val="clear" w:color="auto" w:fill="FFFFFF"/>
        <w:adjustRightInd w:val="0"/>
        <w:snapToGrid w:val="0"/>
        <w:spacing w:line="500" w:lineRule="exact"/>
        <w:ind w:firstLine="645"/>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（三）为避免与正常期末考试时间冲突，重修课程的考核安排在正常期末统考前一周进行（毕业年级第六学期的重修考试安排在四月中下旬），由各学院自行组织；</w:t>
      </w:r>
    </w:p>
    <w:p>
      <w:pPr>
        <w:pStyle w:val="2"/>
        <w:spacing w:before="0" w:beforeAutospacing="0" w:after="0" w:afterAutospacing="0" w:line="500" w:lineRule="exact"/>
        <w:ind w:firstLine="560" w:firstLineChars="200"/>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（四）课程因教学计划调整而发生变动时，由开课单位确定重修替代课程。</w:t>
      </w:r>
    </w:p>
    <w:p>
      <w:pPr>
        <w:widowControl/>
        <w:shd w:val="clear" w:color="auto" w:fill="FFFFFF"/>
        <w:adjustRightInd w:val="0"/>
        <w:snapToGrid w:val="0"/>
        <w:spacing w:line="500" w:lineRule="exact"/>
        <w:ind w:firstLine="645"/>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（五）重修课程学习的所有环节及要求应同正常修读课程一致。重修课程考核成绩不计平时成绩，只计考试成绩，</w:t>
      </w:r>
      <w:r>
        <w:rPr>
          <w:rFonts w:hint="eastAsia" w:ascii="仿宋_GB2312" w:hAnsi="仿宋" w:eastAsia="仿宋_GB2312" w:cs="仿宋"/>
          <w:color w:val="000000" w:themeColor="text1"/>
          <w:sz w:val="28"/>
          <w:szCs w:val="28"/>
          <w14:textFill>
            <w14:solidFill>
              <w14:schemeClr w14:val="tx1"/>
            </w14:solidFill>
          </w14:textFill>
        </w:rPr>
        <w:t>重修考试成绩如实记录，成绩标注补考字样</w:t>
      </w:r>
      <w:r>
        <w:rPr>
          <w:rFonts w:hint="eastAsia" w:ascii="仿宋_GB2312" w:hAnsi="仿宋" w:eastAsia="仿宋_GB2312" w:cs="仿宋"/>
          <w:color w:val="000000" w:themeColor="text1"/>
          <w:kern w:val="0"/>
          <w:sz w:val="28"/>
          <w:szCs w:val="28"/>
          <w14:textFill>
            <w14:solidFill>
              <w14:schemeClr w14:val="tx1"/>
            </w14:solidFill>
          </w14:textFill>
        </w:rPr>
        <w:t>。</w:t>
      </w:r>
    </w:p>
    <w:p>
      <w:pPr>
        <w:widowControl/>
        <w:shd w:val="clear" w:color="auto" w:fill="FFFFFF"/>
        <w:adjustRightInd w:val="0"/>
        <w:snapToGrid w:val="0"/>
        <w:spacing w:line="500" w:lineRule="exact"/>
        <w:ind w:firstLine="645"/>
        <w:jc w:val="left"/>
        <w:rPr>
          <w:rFonts w:ascii="仿宋_GB2312" w:hAnsi="仿宋" w:eastAsia="仿宋_GB2312" w:cs="仿宋"/>
          <w:color w:val="000000" w:themeColor="text1"/>
          <w:kern w:val="0"/>
          <w:sz w:val="28"/>
          <w:szCs w:val="28"/>
          <w14:textFill>
            <w14:solidFill>
              <w14:schemeClr w14:val="tx1"/>
            </w14:solidFill>
          </w14:textFill>
        </w:rPr>
      </w:pPr>
      <w:r>
        <w:rPr>
          <w:rFonts w:hint="eastAsia" w:ascii="仿宋_GB2312" w:hAnsi="仿宋" w:eastAsia="仿宋_GB2312" w:cs="仿宋"/>
          <w:color w:val="000000" w:themeColor="text1"/>
          <w:kern w:val="0"/>
          <w:sz w:val="28"/>
          <w:szCs w:val="28"/>
          <w14:textFill>
            <w14:solidFill>
              <w14:schemeClr w14:val="tx1"/>
            </w14:solidFill>
          </w14:textFill>
        </w:rPr>
        <w:t>（六）入学教育和军训、劳动实践、教育见习、教育或专业实习、顶岗实习和毕业（设计）论文等实践环节不允许重修。</w:t>
      </w:r>
    </w:p>
    <w:p>
      <w:pPr>
        <w:widowControl/>
        <w:shd w:val="clear" w:color="auto" w:fill="FFFFFF"/>
        <w:adjustRightInd w:val="0"/>
        <w:snapToGrid w:val="0"/>
        <w:spacing w:line="500" w:lineRule="exact"/>
        <w:ind w:firstLine="560" w:firstLineChars="200"/>
        <w:rPr>
          <w:rFonts w:ascii="仿宋_GB2312" w:hAnsi="黑体" w:eastAsia="仿宋_GB2312" w:cs="黑体"/>
          <w:color w:val="000000" w:themeColor="text1"/>
          <w:kern w:val="0"/>
          <w:sz w:val="28"/>
          <w:szCs w:val="28"/>
          <w14:textFill>
            <w14:solidFill>
              <w14:schemeClr w14:val="tx1"/>
            </w14:solidFill>
          </w14:textFill>
        </w:rPr>
      </w:pPr>
      <w:r>
        <w:rPr>
          <w:rFonts w:hint="eastAsia" w:ascii="仿宋_GB2312" w:hAnsi="黑体" w:eastAsia="仿宋_GB2312" w:cs="黑体"/>
          <w:color w:val="000000" w:themeColor="text1"/>
          <w:kern w:val="0"/>
          <w:sz w:val="28"/>
          <w:szCs w:val="28"/>
          <w14:textFill>
            <w14:solidFill>
              <w14:schemeClr w14:val="tx1"/>
            </w14:solidFill>
          </w14:textFill>
        </w:rPr>
        <w:t>（七）重修课程考试不允许办理缓考手续。</w:t>
      </w:r>
    </w:p>
    <w:p>
      <w:pPr>
        <w:widowControl/>
        <w:shd w:val="clear" w:color="auto" w:fill="FFFFFF"/>
        <w:adjustRightInd w:val="0"/>
        <w:snapToGrid w:val="0"/>
        <w:spacing w:before="120" w:beforeLines="50" w:after="120" w:afterLines="50" w:line="500" w:lineRule="exact"/>
        <w:jc w:val="center"/>
        <w:rPr>
          <w:rFonts w:ascii="黑体" w:hAnsi="黑体" w:eastAsia="黑体" w:cs="黑体"/>
          <w:kern w:val="0"/>
          <w:sz w:val="28"/>
          <w:szCs w:val="28"/>
        </w:rPr>
      </w:pPr>
      <w:r>
        <w:rPr>
          <w:rFonts w:hint="eastAsia" w:ascii="黑体" w:hAnsi="黑体" w:eastAsia="黑体" w:cs="黑体"/>
          <w:kern w:val="0"/>
          <w:sz w:val="28"/>
          <w:szCs w:val="28"/>
        </w:rPr>
        <w:t>第九章  考核分析、复查、总结</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 xml:space="preserve">第四十九条 </w:t>
      </w:r>
      <w:r>
        <w:rPr>
          <w:rFonts w:hint="eastAsia" w:ascii="仿宋_GB2312" w:hAnsi="仿宋" w:eastAsia="仿宋_GB2312" w:cs="仿宋"/>
          <w:kern w:val="0"/>
          <w:sz w:val="28"/>
          <w:szCs w:val="28"/>
        </w:rPr>
        <w:t xml:space="preserve">期末考试结束后，各学院要组织任课教师对所任课程的考核成绩进行相关分析，填写《课程目标达成度分析量表》（见附件2），撰写课程目标达成度分析报告。课程目标达成度分析报告应包括过程性考核成绩分析、期末考核成绩分析、课程目标达成度分析和教学改进措施等部分组成。 </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 xml:space="preserve">第五十条 </w:t>
      </w:r>
      <w:r>
        <w:rPr>
          <w:rFonts w:hint="eastAsia" w:ascii="仿宋_GB2312" w:hAnsi="仿宋" w:eastAsia="仿宋_GB2312" w:cs="仿宋"/>
          <w:kern w:val="0"/>
          <w:sz w:val="28"/>
          <w:szCs w:val="28"/>
        </w:rPr>
        <w:t>课程过程性考核分析。主要分析过程性考核的考核方法、考核内容、考核成绩、考核内容的达成度以及过程性考核存在的问题与不足，提出今后改进过程性考核的举措。</w:t>
      </w:r>
    </w:p>
    <w:p>
      <w:pPr>
        <w:widowControl/>
        <w:shd w:val="clear" w:color="auto" w:fill="FFFFFF"/>
        <w:adjustRightInd w:val="0"/>
        <w:snapToGrid w:val="0"/>
        <w:spacing w:line="500" w:lineRule="exact"/>
        <w:ind w:firstLine="551" w:firstLineChars="196"/>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第五十一条</w:t>
      </w:r>
      <w:r>
        <w:rPr>
          <w:rFonts w:hint="eastAsia" w:ascii="宋体" w:hAnsi="宋体" w:eastAsia="仿宋_GB2312" w:cs="宋体"/>
          <w:kern w:val="0"/>
          <w:sz w:val="28"/>
          <w:szCs w:val="28"/>
        </w:rPr>
        <w:t xml:space="preserve"> </w:t>
      </w:r>
      <w:r>
        <w:rPr>
          <w:rFonts w:hint="eastAsia" w:ascii="仿宋_GB2312" w:hAnsi="仿宋" w:eastAsia="仿宋_GB2312" w:cs="仿宋"/>
          <w:kern w:val="0"/>
          <w:sz w:val="28"/>
          <w:szCs w:val="28"/>
        </w:rPr>
        <w:t xml:space="preserve">期末考核成绩分析。是指对期末考试学生答卷情况进行分析，包括每道试题的最高分、最低分和平均分，总评成绩最高分、最低分、平均分、及格率、优秀率等，着重评价分析学生对知识点的掌握程度和存在的问题。  </w:t>
      </w:r>
    </w:p>
    <w:p>
      <w:pPr>
        <w:widowControl/>
        <w:shd w:val="clear" w:color="auto" w:fill="FFFFFF"/>
        <w:adjustRightInd w:val="0"/>
        <w:snapToGrid w:val="0"/>
        <w:spacing w:line="500" w:lineRule="exact"/>
        <w:ind w:firstLine="551" w:firstLineChars="196"/>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第五十二条</w:t>
      </w:r>
      <w:r>
        <w:rPr>
          <w:rFonts w:hint="eastAsia" w:ascii="宋体" w:hAnsi="宋体" w:eastAsia="仿宋_GB2312" w:cs="宋体"/>
          <w:kern w:val="0"/>
          <w:sz w:val="28"/>
          <w:szCs w:val="28"/>
        </w:rPr>
        <w:t xml:space="preserve"> </w:t>
      </w:r>
      <w:r>
        <w:rPr>
          <w:rFonts w:hint="eastAsia" w:ascii="仿宋_GB2312" w:hAnsi="仿宋" w:eastAsia="仿宋_GB2312" w:cs="仿宋"/>
          <w:kern w:val="0"/>
          <w:sz w:val="28"/>
          <w:szCs w:val="28"/>
        </w:rPr>
        <w:t xml:space="preserve">课程目标达成度分析。是指对课程分目标和课程总目标达成情况进行说明。  </w:t>
      </w:r>
    </w:p>
    <w:p>
      <w:pPr>
        <w:widowControl/>
        <w:shd w:val="clear" w:color="auto" w:fill="FFFFFF"/>
        <w:adjustRightInd w:val="0"/>
        <w:snapToGrid w:val="0"/>
        <w:spacing w:line="500" w:lineRule="exact"/>
        <w:ind w:firstLine="551" w:firstLineChars="196"/>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第五十三条</w:t>
      </w:r>
      <w:r>
        <w:rPr>
          <w:rFonts w:hint="eastAsia" w:ascii="宋体" w:hAnsi="宋体" w:eastAsia="仿宋_GB2312" w:cs="宋体"/>
          <w:kern w:val="0"/>
          <w:sz w:val="28"/>
          <w:szCs w:val="28"/>
        </w:rPr>
        <w:t xml:space="preserve"> </w:t>
      </w:r>
      <w:r>
        <w:rPr>
          <w:rFonts w:hint="eastAsia" w:ascii="仿宋_GB2312" w:hAnsi="仿宋" w:eastAsia="仿宋_GB2312" w:cs="仿宋"/>
          <w:kern w:val="0"/>
          <w:sz w:val="28"/>
          <w:szCs w:val="28"/>
        </w:rPr>
        <w:t xml:space="preserve">教学改进措施。是指基于过程性考核成绩分析、期末考核成绩分析和课程目标达成度分析等数据，提出今后课程在教学内容、教学方法、考核方式等方面的改进措施。  </w:t>
      </w:r>
    </w:p>
    <w:p>
      <w:pPr>
        <w:widowControl/>
        <w:shd w:val="clear" w:color="auto" w:fill="FFFFFF"/>
        <w:adjustRightInd w:val="0"/>
        <w:snapToGrid w:val="0"/>
        <w:spacing w:line="500" w:lineRule="exact"/>
        <w:ind w:firstLine="551" w:firstLineChars="196"/>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 xml:space="preserve">第五十四条 </w:t>
      </w:r>
      <w:r>
        <w:rPr>
          <w:rFonts w:hint="eastAsia" w:ascii="仿宋_GB2312" w:hAnsi="仿宋" w:eastAsia="仿宋_GB2312" w:cs="仿宋"/>
          <w:kern w:val="0"/>
          <w:sz w:val="28"/>
          <w:szCs w:val="28"/>
        </w:rPr>
        <w:t>考试成绩出现异常的情况（如不及格率过高）应当在课程目标达成度分析报告中予以说明。</w:t>
      </w:r>
    </w:p>
    <w:p>
      <w:pPr>
        <w:widowControl/>
        <w:shd w:val="clear" w:color="auto" w:fill="FFFFFF"/>
        <w:adjustRightInd w:val="0"/>
        <w:snapToGrid w:val="0"/>
        <w:spacing w:line="500" w:lineRule="exact"/>
        <w:ind w:firstLine="551" w:firstLineChars="196"/>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 xml:space="preserve">第五十五条 </w:t>
      </w:r>
      <w:r>
        <w:rPr>
          <w:rFonts w:hint="eastAsia" w:ascii="宋体" w:hAnsi="宋体" w:eastAsia="仿宋_GB2312" w:cs="宋体"/>
          <w:kern w:val="0"/>
          <w:sz w:val="28"/>
          <w:szCs w:val="28"/>
        </w:rPr>
        <w:t>为</w:t>
      </w:r>
      <w:r>
        <w:rPr>
          <w:rFonts w:hint="eastAsia" w:ascii="仿宋_GB2312" w:hAnsi="仿宋" w:eastAsia="仿宋_GB2312" w:cs="仿宋"/>
          <w:kern w:val="0"/>
          <w:sz w:val="28"/>
          <w:szCs w:val="28"/>
        </w:rPr>
        <w:t>保证考试命题和阅卷质量，各学院、教务处、教育教学督导室要定期开展考试命题和阅卷质量抽查工作。</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 xml:space="preserve">第五十六条 </w:t>
      </w:r>
      <w:r>
        <w:rPr>
          <w:rFonts w:hint="eastAsia" w:ascii="仿宋_GB2312" w:hAnsi="仿宋" w:eastAsia="仿宋_GB2312" w:cs="仿宋"/>
          <w:kern w:val="0"/>
          <w:sz w:val="28"/>
          <w:szCs w:val="28"/>
        </w:rPr>
        <w:t>除学生申请考试成绩复查外，考试成绩复查采取随机抽样方式进行。复查中的平时成绩一律以教师上报的平时记录为准。在试卷复查中，查出的所有问题均应做好记录，并作相应的处理。</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 xml:space="preserve">第五十七条 </w:t>
      </w:r>
      <w:r>
        <w:rPr>
          <w:rFonts w:hint="eastAsia" w:ascii="仿宋_GB2312" w:hAnsi="仿宋" w:eastAsia="仿宋_GB2312" w:cs="仿宋"/>
          <w:kern w:val="0"/>
          <w:sz w:val="28"/>
          <w:szCs w:val="28"/>
        </w:rPr>
        <w:t>为了不断提高教学质量，每学期考试结束后，各学院都要进行考试工作总结，分析存在问题，提出改进意见，并及时报教务处，以便进行全校考试工作总结。</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第五十八条</w:t>
      </w:r>
      <w:r>
        <w:rPr>
          <w:rFonts w:hint="eastAsia" w:ascii="仿宋_GB2312" w:hAnsi="仿宋" w:eastAsia="仿宋_GB2312" w:cs="仿宋"/>
          <w:kern w:val="0"/>
          <w:sz w:val="28"/>
          <w:szCs w:val="28"/>
        </w:rPr>
        <w:t xml:space="preserve"> 各学院应健全课程考核监督渠道，成立由学生和教师代表参加的课程考核监督小组，监督、检举课程考核中的违纪、舞弊、包庇等违反学校规定的行为。</w:t>
      </w:r>
    </w:p>
    <w:p>
      <w:pPr>
        <w:widowControl/>
        <w:shd w:val="clear" w:color="auto" w:fill="FFFFFF"/>
        <w:adjustRightInd w:val="0"/>
        <w:snapToGrid w:val="0"/>
        <w:spacing w:before="120" w:beforeLines="50" w:after="120" w:afterLines="50" w:line="500" w:lineRule="exact"/>
        <w:jc w:val="center"/>
        <w:rPr>
          <w:rFonts w:ascii="黑体" w:hAnsi="黑体" w:eastAsia="黑体" w:cs="黑体"/>
          <w:kern w:val="0"/>
          <w:sz w:val="28"/>
          <w:szCs w:val="28"/>
        </w:rPr>
      </w:pPr>
      <w:r>
        <w:rPr>
          <w:rFonts w:hint="eastAsia" w:ascii="黑体" w:hAnsi="黑体" w:eastAsia="黑体" w:cs="黑体"/>
          <w:kern w:val="0"/>
          <w:sz w:val="28"/>
          <w:szCs w:val="28"/>
        </w:rPr>
        <w:t>第十章 附则</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第五十九条</w:t>
      </w:r>
      <w:r>
        <w:rPr>
          <w:rFonts w:hint="eastAsia" w:ascii="仿宋_GB2312" w:hAnsi="仿宋" w:eastAsia="仿宋_GB2312" w:cs="仿宋"/>
          <w:kern w:val="0"/>
          <w:sz w:val="28"/>
          <w:szCs w:val="28"/>
        </w:rPr>
        <w:t xml:space="preserve"> 本办法适用于我校全日制学生在校期间参加的所有考试。</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 xml:space="preserve">第六十条 </w:t>
      </w:r>
      <w:r>
        <w:rPr>
          <w:rFonts w:hint="eastAsia" w:ascii="仿宋_GB2312" w:hAnsi="仿宋" w:eastAsia="仿宋_GB2312" w:cs="仿宋"/>
          <w:kern w:val="0"/>
          <w:sz w:val="28"/>
          <w:szCs w:val="28"/>
        </w:rPr>
        <w:t>本办法由教务处负责解释。</w:t>
      </w:r>
    </w:p>
    <w:p>
      <w:pPr>
        <w:widowControl/>
        <w:shd w:val="clear" w:color="auto" w:fill="FFFFFF"/>
        <w:adjustRightInd w:val="0"/>
        <w:snapToGrid w:val="0"/>
        <w:spacing w:line="500" w:lineRule="exact"/>
        <w:ind w:firstLine="562" w:firstLineChars="200"/>
        <w:jc w:val="left"/>
        <w:rPr>
          <w:rFonts w:ascii="仿宋_GB2312" w:hAnsi="仿宋" w:eastAsia="仿宋_GB2312" w:cs="仿宋"/>
          <w:kern w:val="0"/>
          <w:sz w:val="28"/>
          <w:szCs w:val="28"/>
        </w:rPr>
      </w:pPr>
      <w:r>
        <w:rPr>
          <w:rFonts w:hint="eastAsia" w:ascii="仿宋_GB2312" w:hAnsi="仿宋" w:eastAsia="仿宋_GB2312" w:cs="仿宋"/>
          <w:b/>
          <w:kern w:val="0"/>
          <w:sz w:val="28"/>
          <w:szCs w:val="28"/>
        </w:rPr>
        <w:t>第六十一条</w:t>
      </w:r>
      <w:r>
        <w:rPr>
          <w:rFonts w:hint="eastAsia" w:ascii="仿宋_GB2312" w:hAnsi="仿宋" w:eastAsia="仿宋_GB2312" w:cs="仿宋"/>
          <w:kern w:val="0"/>
          <w:sz w:val="28"/>
          <w:szCs w:val="28"/>
        </w:rPr>
        <w:t xml:space="preserve"> 本办法自公布之日起施行。</w:t>
      </w:r>
    </w:p>
    <w:p>
      <w:pPr>
        <w:adjustRightInd w:val="0"/>
        <w:snapToGrid w:val="0"/>
        <w:spacing w:line="500" w:lineRule="exact"/>
        <w:ind w:firstLine="420" w:firstLineChars="200"/>
        <w:jc w:val="left"/>
      </w:pPr>
      <w:r>
        <w:br w:type="page"/>
      </w:r>
    </w:p>
    <w:tbl>
      <w:tblPr>
        <w:tblStyle w:val="4"/>
        <w:tblpPr w:leftFromText="180" w:rightFromText="180" w:vertAnchor="page" w:horzAnchor="margin" w:tblpXSpec="center" w:tblpY="2665"/>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888"/>
        <w:gridCol w:w="246"/>
        <w:gridCol w:w="426"/>
        <w:gridCol w:w="1458"/>
        <w:gridCol w:w="384"/>
        <w:gridCol w:w="1488"/>
        <w:gridCol w:w="259"/>
        <w:gridCol w:w="96"/>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06" w:type="dxa"/>
            <w:gridSpan w:val="2"/>
            <w:vAlign w:val="center"/>
          </w:tcPr>
          <w:p>
            <w:pPr>
              <w:spacing w:line="2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课程名称</w:t>
            </w:r>
          </w:p>
        </w:tc>
        <w:tc>
          <w:tcPr>
            <w:tcW w:w="2130" w:type="dxa"/>
            <w:gridSpan w:val="3"/>
            <w:vAlign w:val="center"/>
          </w:tcPr>
          <w:p>
            <w:pPr>
              <w:spacing w:line="280" w:lineRule="exact"/>
              <w:jc w:val="center"/>
              <w:rPr>
                <w:rFonts w:ascii="仿宋_GB2312" w:hAnsi="仿宋_GB2312" w:eastAsia="仿宋_GB2312" w:cs="仿宋_GB2312"/>
                <w:sz w:val="24"/>
                <w:szCs w:val="24"/>
              </w:rPr>
            </w:pPr>
          </w:p>
        </w:tc>
        <w:tc>
          <w:tcPr>
            <w:tcW w:w="2131" w:type="dxa"/>
            <w:gridSpan w:val="3"/>
            <w:vAlign w:val="center"/>
          </w:tcPr>
          <w:p>
            <w:pPr>
              <w:spacing w:line="2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任课教师</w:t>
            </w:r>
          </w:p>
        </w:tc>
        <w:tc>
          <w:tcPr>
            <w:tcW w:w="2472" w:type="dxa"/>
            <w:gridSpan w:val="2"/>
            <w:vAlign w:val="center"/>
          </w:tcPr>
          <w:p>
            <w:pPr>
              <w:spacing w:line="28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06" w:type="dxa"/>
            <w:gridSpan w:val="2"/>
            <w:vAlign w:val="center"/>
          </w:tcPr>
          <w:p>
            <w:pPr>
              <w:spacing w:line="2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面向专业</w:t>
            </w:r>
          </w:p>
        </w:tc>
        <w:tc>
          <w:tcPr>
            <w:tcW w:w="2130" w:type="dxa"/>
            <w:gridSpan w:val="3"/>
            <w:vAlign w:val="center"/>
          </w:tcPr>
          <w:p>
            <w:pPr>
              <w:spacing w:line="280" w:lineRule="exact"/>
              <w:jc w:val="center"/>
              <w:rPr>
                <w:rFonts w:ascii="仿宋_GB2312" w:hAnsi="仿宋_GB2312" w:eastAsia="仿宋_GB2312" w:cs="仿宋_GB2312"/>
                <w:sz w:val="24"/>
                <w:szCs w:val="24"/>
              </w:rPr>
            </w:pPr>
          </w:p>
        </w:tc>
        <w:tc>
          <w:tcPr>
            <w:tcW w:w="2131" w:type="dxa"/>
            <w:gridSpan w:val="3"/>
            <w:vAlign w:val="center"/>
          </w:tcPr>
          <w:p>
            <w:pPr>
              <w:spacing w:line="2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授课学期</w:t>
            </w:r>
          </w:p>
        </w:tc>
        <w:tc>
          <w:tcPr>
            <w:tcW w:w="2472" w:type="dxa"/>
            <w:gridSpan w:val="2"/>
            <w:vAlign w:val="center"/>
          </w:tcPr>
          <w:p>
            <w:pPr>
              <w:spacing w:line="280" w:lineRule="exact"/>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36" w:type="dxa"/>
            <w:gridSpan w:val="5"/>
            <w:vAlign w:val="center"/>
          </w:tcPr>
          <w:p>
            <w:pPr>
              <w:spacing w:line="2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对应毕业要求指标点</w:t>
            </w:r>
          </w:p>
        </w:tc>
        <w:tc>
          <w:tcPr>
            <w:tcW w:w="4603" w:type="dxa"/>
            <w:gridSpan w:val="5"/>
            <w:vAlign w:val="center"/>
          </w:tcPr>
          <w:p>
            <w:pPr>
              <w:spacing w:line="2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36" w:type="dxa"/>
            <w:gridSpan w:val="5"/>
            <w:vAlign w:val="center"/>
          </w:tcPr>
          <w:p>
            <w:pPr>
              <w:spacing w:line="2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指标1</w:t>
            </w:r>
          </w:p>
        </w:tc>
        <w:tc>
          <w:tcPr>
            <w:tcW w:w="4603" w:type="dxa"/>
            <w:gridSpan w:val="5"/>
            <w:vAlign w:val="center"/>
          </w:tcPr>
          <w:p>
            <w:pPr>
              <w:spacing w:line="2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36" w:type="dxa"/>
            <w:gridSpan w:val="5"/>
            <w:vAlign w:val="center"/>
          </w:tcPr>
          <w:p>
            <w:pPr>
              <w:spacing w:line="2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指标2</w:t>
            </w:r>
          </w:p>
        </w:tc>
        <w:tc>
          <w:tcPr>
            <w:tcW w:w="4603" w:type="dxa"/>
            <w:gridSpan w:val="5"/>
            <w:vAlign w:val="center"/>
          </w:tcPr>
          <w:p>
            <w:pPr>
              <w:spacing w:line="2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36" w:type="dxa"/>
            <w:gridSpan w:val="5"/>
            <w:vAlign w:val="center"/>
          </w:tcPr>
          <w:p>
            <w:pPr>
              <w:spacing w:line="2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指标3</w:t>
            </w:r>
          </w:p>
        </w:tc>
        <w:tc>
          <w:tcPr>
            <w:tcW w:w="4603" w:type="dxa"/>
            <w:gridSpan w:val="5"/>
            <w:vAlign w:val="center"/>
          </w:tcPr>
          <w:p>
            <w:pPr>
              <w:spacing w:line="2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4436" w:type="dxa"/>
            <w:gridSpan w:val="5"/>
            <w:vAlign w:val="center"/>
          </w:tcPr>
          <w:p>
            <w:pPr>
              <w:spacing w:line="2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4603" w:type="dxa"/>
            <w:gridSpan w:val="5"/>
            <w:vAlign w:val="center"/>
          </w:tcPr>
          <w:p>
            <w:pPr>
              <w:spacing w:line="2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Align w:val="center"/>
          </w:tcPr>
          <w:p>
            <w:pPr>
              <w:spacing w:line="2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课程目标</w:t>
            </w:r>
          </w:p>
        </w:tc>
        <w:tc>
          <w:tcPr>
            <w:tcW w:w="1560" w:type="dxa"/>
            <w:gridSpan w:val="3"/>
            <w:vAlign w:val="center"/>
          </w:tcPr>
          <w:p>
            <w:pPr>
              <w:spacing w:line="2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课程目标1</w:t>
            </w:r>
          </w:p>
        </w:tc>
        <w:tc>
          <w:tcPr>
            <w:tcW w:w="1842" w:type="dxa"/>
            <w:gridSpan w:val="2"/>
            <w:vAlign w:val="center"/>
          </w:tcPr>
          <w:p>
            <w:pPr>
              <w:spacing w:line="2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课程目标2</w:t>
            </w:r>
          </w:p>
        </w:tc>
        <w:tc>
          <w:tcPr>
            <w:tcW w:w="1488" w:type="dxa"/>
            <w:tcBorders>
              <w:right w:val="single" w:color="auto" w:sz="4" w:space="0"/>
            </w:tcBorders>
            <w:vAlign w:val="center"/>
          </w:tcPr>
          <w:p>
            <w:pPr>
              <w:spacing w:line="2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课程目标3</w:t>
            </w:r>
          </w:p>
        </w:tc>
        <w:tc>
          <w:tcPr>
            <w:tcW w:w="2731" w:type="dxa"/>
            <w:gridSpan w:val="3"/>
            <w:tcBorders>
              <w:left w:val="single" w:color="auto" w:sz="4" w:space="0"/>
            </w:tcBorders>
            <w:vAlign w:val="center"/>
          </w:tcPr>
          <w:p>
            <w:pPr>
              <w:spacing w:line="2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Align w:val="center"/>
          </w:tcPr>
          <w:p>
            <w:pPr>
              <w:spacing w:line="2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试题</w:t>
            </w:r>
          </w:p>
        </w:tc>
        <w:tc>
          <w:tcPr>
            <w:tcW w:w="1560" w:type="dxa"/>
            <w:gridSpan w:val="3"/>
            <w:vAlign w:val="center"/>
          </w:tcPr>
          <w:p>
            <w:pPr>
              <w:spacing w:line="2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1  2</w:t>
            </w:r>
          </w:p>
        </w:tc>
        <w:tc>
          <w:tcPr>
            <w:tcW w:w="1842" w:type="dxa"/>
            <w:gridSpan w:val="2"/>
            <w:vAlign w:val="center"/>
          </w:tcPr>
          <w:p>
            <w:pPr>
              <w:spacing w:line="2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3 4 5</w:t>
            </w:r>
          </w:p>
        </w:tc>
        <w:tc>
          <w:tcPr>
            <w:tcW w:w="1488" w:type="dxa"/>
            <w:tcBorders>
              <w:right w:val="single" w:color="auto" w:sz="4" w:space="0"/>
            </w:tcBorders>
            <w:vAlign w:val="center"/>
          </w:tcPr>
          <w:p>
            <w:pPr>
              <w:spacing w:line="2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6 7</w:t>
            </w:r>
          </w:p>
        </w:tc>
        <w:tc>
          <w:tcPr>
            <w:tcW w:w="2731" w:type="dxa"/>
            <w:gridSpan w:val="3"/>
            <w:tcBorders>
              <w:left w:val="single" w:color="auto" w:sz="4" w:space="0"/>
            </w:tcBorders>
            <w:vAlign w:val="center"/>
          </w:tcPr>
          <w:p>
            <w:pPr>
              <w:spacing w:line="2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Align w:val="center"/>
          </w:tcPr>
          <w:p>
            <w:pPr>
              <w:spacing w:line="280" w:lineRule="exact"/>
              <w:jc w:val="center"/>
              <w:rPr>
                <w:rFonts w:ascii="仿宋_GB2312" w:hAnsi="仿宋_GB2312" w:eastAsia="仿宋_GB2312" w:cs="仿宋_GB2312"/>
                <w:sz w:val="24"/>
                <w:szCs w:val="24"/>
              </w:rPr>
            </w:pPr>
            <w:r>
              <w:rPr>
                <w:rFonts w:hint="eastAsia" w:ascii="仿宋_GB2312" w:hAnsi="仿宋_GB2312" w:eastAsia="仿宋_GB2312" w:cs="仿宋_GB2312"/>
                <w:bCs/>
                <w:color w:val="000000"/>
                <w:sz w:val="24"/>
                <w:szCs w:val="24"/>
              </w:rPr>
              <w:t>分值</w:t>
            </w:r>
          </w:p>
        </w:tc>
        <w:tc>
          <w:tcPr>
            <w:tcW w:w="1560" w:type="dxa"/>
            <w:gridSpan w:val="3"/>
            <w:vAlign w:val="center"/>
          </w:tcPr>
          <w:p>
            <w:pPr>
              <w:spacing w:line="280" w:lineRule="exact"/>
              <w:rPr>
                <w:rFonts w:ascii="仿宋_GB2312" w:hAnsi="仿宋_GB2312" w:eastAsia="仿宋_GB2312" w:cs="仿宋_GB2312"/>
                <w:sz w:val="24"/>
                <w:szCs w:val="24"/>
              </w:rPr>
            </w:pPr>
          </w:p>
        </w:tc>
        <w:tc>
          <w:tcPr>
            <w:tcW w:w="1842" w:type="dxa"/>
            <w:gridSpan w:val="2"/>
            <w:vAlign w:val="center"/>
          </w:tcPr>
          <w:p>
            <w:pPr>
              <w:spacing w:line="280" w:lineRule="exact"/>
              <w:rPr>
                <w:rFonts w:ascii="仿宋_GB2312" w:hAnsi="仿宋_GB2312" w:eastAsia="仿宋_GB2312" w:cs="仿宋_GB2312"/>
                <w:sz w:val="24"/>
                <w:szCs w:val="24"/>
              </w:rPr>
            </w:pPr>
          </w:p>
        </w:tc>
        <w:tc>
          <w:tcPr>
            <w:tcW w:w="1488" w:type="dxa"/>
            <w:tcBorders>
              <w:right w:val="single" w:color="auto" w:sz="4" w:space="0"/>
            </w:tcBorders>
            <w:vAlign w:val="center"/>
          </w:tcPr>
          <w:p>
            <w:pPr>
              <w:spacing w:line="280" w:lineRule="exact"/>
              <w:rPr>
                <w:rFonts w:ascii="仿宋_GB2312" w:hAnsi="仿宋_GB2312" w:eastAsia="仿宋_GB2312" w:cs="仿宋_GB2312"/>
                <w:sz w:val="24"/>
                <w:szCs w:val="24"/>
              </w:rPr>
            </w:pPr>
          </w:p>
        </w:tc>
        <w:tc>
          <w:tcPr>
            <w:tcW w:w="2731" w:type="dxa"/>
            <w:gridSpan w:val="3"/>
            <w:tcBorders>
              <w:left w:val="single" w:color="auto" w:sz="4" w:space="0"/>
            </w:tcBorders>
            <w:vAlign w:val="center"/>
          </w:tcPr>
          <w:p>
            <w:pPr>
              <w:spacing w:line="280" w:lineRule="exact"/>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39" w:type="dxa"/>
            <w:gridSpan w:val="10"/>
            <w:vAlign w:val="center"/>
          </w:tcPr>
          <w:p>
            <w:pPr>
              <w:spacing w:line="280" w:lineRule="exact"/>
              <w:jc w:val="center"/>
              <w:rPr>
                <w:rFonts w:ascii="仿宋_GB2312" w:hAnsi="仿宋_GB2312" w:eastAsia="仿宋_GB2312" w:cs="仿宋_GB2312"/>
                <w:sz w:val="24"/>
                <w:szCs w:val="24"/>
              </w:rPr>
            </w:pPr>
            <w:r>
              <w:rPr>
                <w:rFonts w:hint="eastAsia" w:ascii="仿宋_GB2312" w:hAnsi="仿宋_GB2312" w:eastAsia="仿宋_GB2312" w:cs="仿宋_GB2312"/>
                <w:bCs/>
                <w:color w:val="000000"/>
                <w:sz w:val="24"/>
                <w:szCs w:val="24"/>
              </w:rPr>
              <w:t>评价条款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39" w:type="dxa"/>
            <w:gridSpan w:val="10"/>
            <w:vAlign w:val="center"/>
          </w:tcPr>
          <w:p>
            <w:pPr>
              <w:spacing w:line="2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1.考核内容是否支撑课程目标和毕业要求指标点        </w:t>
            </w:r>
            <w:r>
              <w:rPr>
                <w:rFonts w:hint="eastAsia" w:ascii="仿宋_GB2312" w:hAnsi="仿宋_GB2312" w:eastAsia="仿宋_GB2312" w:cs="仿宋_GB2312"/>
                <w:color w:val="00000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39" w:type="dxa"/>
            <w:gridSpan w:val="10"/>
            <w:vAlign w:val="center"/>
          </w:tcPr>
          <w:p>
            <w:pPr>
              <w:spacing w:line="2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2.考核内容的深度和广度与教学大纲主要内容的覆盖度  完全</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sz w:val="24"/>
                <w:szCs w:val="24"/>
              </w:rPr>
              <w:t>基本</w:t>
            </w:r>
            <w:r>
              <w:rPr>
                <w:rFonts w:hint="eastAsia" w:ascii="仿宋_GB2312" w:hAnsi="仿宋_GB2312" w:eastAsia="仿宋_GB2312" w:cs="仿宋_GB2312"/>
                <w:color w:val="000000"/>
                <w:sz w:val="24"/>
                <w:szCs w:val="24"/>
              </w:rPr>
              <w:t xml:space="preserve">□ </w:t>
            </w:r>
            <w:r>
              <w:rPr>
                <w:rFonts w:hint="eastAsia" w:ascii="仿宋_GB2312" w:hAnsi="仿宋_GB2312" w:eastAsia="仿宋_GB2312" w:cs="仿宋_GB2312"/>
                <w:sz w:val="24"/>
                <w:szCs w:val="24"/>
              </w:rPr>
              <w:t>不合格</w:t>
            </w:r>
            <w:r>
              <w:rPr>
                <w:rFonts w:hint="eastAsia" w:ascii="仿宋_GB2312" w:hAnsi="仿宋_GB2312" w:eastAsia="仿宋_GB2312" w:cs="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39" w:type="dxa"/>
            <w:gridSpan w:val="10"/>
            <w:vAlign w:val="center"/>
          </w:tcPr>
          <w:p>
            <w:pPr>
              <w:tabs>
                <w:tab w:val="center" w:pos="4153"/>
              </w:tabs>
              <w:spacing w:line="2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3.考核内容的评分标准是否清晰、明确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  </w:t>
            </w:r>
            <w:r>
              <w:rPr>
                <w:rFonts w:hint="eastAsia" w:ascii="仿宋_GB2312" w:hAnsi="仿宋_GB2312" w:eastAsia="仿宋_GB2312" w:cs="仿宋_GB2312"/>
                <w:color w:val="000000"/>
                <w:sz w:val="24"/>
                <w:szCs w:val="24"/>
              </w:rPr>
              <w:t>是□否□</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39" w:type="dxa"/>
            <w:gridSpan w:val="10"/>
            <w:vAlign w:val="center"/>
          </w:tcPr>
          <w:p>
            <w:pPr>
              <w:spacing w:line="28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4.上一轮的评价结果是否用于课程教学改进            </w:t>
            </w:r>
            <w:r>
              <w:rPr>
                <w:rFonts w:hint="eastAsia" w:ascii="仿宋_GB2312" w:hAnsi="仿宋_GB2312" w:eastAsia="仿宋_GB2312" w:cs="仿宋_GB2312"/>
                <w:color w:val="00000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2552" w:type="dxa"/>
            <w:gridSpan w:val="3"/>
            <w:tcBorders>
              <w:right w:val="single" w:color="auto" w:sz="4" w:space="0"/>
            </w:tcBorders>
            <w:vAlign w:val="center"/>
          </w:tcPr>
          <w:p>
            <w:pPr>
              <w:spacing w:line="280" w:lineRule="exact"/>
              <w:jc w:val="center"/>
              <w:rPr>
                <w:rFonts w:ascii="仿宋_GB2312" w:hAnsi="仿宋_GB2312" w:eastAsia="仿宋_GB2312" w:cs="仿宋_GB2312"/>
                <w:sz w:val="24"/>
                <w:szCs w:val="24"/>
              </w:rPr>
            </w:pPr>
            <w:r>
              <w:rPr>
                <w:rFonts w:hint="eastAsia" w:ascii="仿宋_GB2312" w:hAnsi="仿宋_GB2312" w:eastAsia="仿宋_GB2312" w:cs="仿宋_GB2312"/>
                <w:bCs/>
                <w:color w:val="000000"/>
                <w:sz w:val="24"/>
                <w:szCs w:val="24"/>
              </w:rPr>
              <w:t>教研室主任 (签字)</w:t>
            </w:r>
          </w:p>
        </w:tc>
        <w:tc>
          <w:tcPr>
            <w:tcW w:w="1884" w:type="dxa"/>
            <w:gridSpan w:val="2"/>
            <w:tcBorders>
              <w:left w:val="single" w:color="auto" w:sz="4" w:space="0"/>
              <w:right w:val="single" w:color="auto" w:sz="4" w:space="0"/>
            </w:tcBorders>
            <w:vAlign w:val="center"/>
          </w:tcPr>
          <w:p>
            <w:pPr>
              <w:spacing w:line="280" w:lineRule="exact"/>
              <w:rPr>
                <w:rFonts w:ascii="仿宋_GB2312" w:hAnsi="仿宋_GB2312" w:eastAsia="仿宋_GB2312" w:cs="仿宋_GB2312"/>
                <w:sz w:val="24"/>
                <w:szCs w:val="24"/>
              </w:rPr>
            </w:pPr>
          </w:p>
        </w:tc>
        <w:tc>
          <w:tcPr>
            <w:tcW w:w="2227" w:type="dxa"/>
            <w:gridSpan w:val="4"/>
            <w:tcBorders>
              <w:left w:val="single" w:color="auto" w:sz="4" w:space="0"/>
              <w:right w:val="single" w:color="auto" w:sz="4" w:space="0"/>
            </w:tcBorders>
            <w:vAlign w:val="center"/>
          </w:tcPr>
          <w:p>
            <w:pPr>
              <w:spacing w:line="280" w:lineRule="exact"/>
              <w:jc w:val="center"/>
              <w:rPr>
                <w:rFonts w:ascii="仿宋_GB2312" w:hAnsi="仿宋_GB2312" w:eastAsia="仿宋_GB2312" w:cs="仿宋_GB2312"/>
                <w:sz w:val="24"/>
                <w:szCs w:val="24"/>
              </w:rPr>
            </w:pPr>
            <w:r>
              <w:rPr>
                <w:rFonts w:hint="eastAsia" w:ascii="仿宋_GB2312" w:hAnsi="仿宋_GB2312" w:eastAsia="仿宋_GB2312" w:cs="仿宋_GB2312"/>
                <w:bCs/>
                <w:color w:val="000000"/>
                <w:sz w:val="24"/>
                <w:szCs w:val="24"/>
              </w:rPr>
              <w:t>主管领导 (签字)</w:t>
            </w:r>
          </w:p>
        </w:tc>
        <w:tc>
          <w:tcPr>
            <w:tcW w:w="2376" w:type="dxa"/>
            <w:tcBorders>
              <w:left w:val="single" w:color="auto" w:sz="4" w:space="0"/>
            </w:tcBorders>
            <w:vAlign w:val="center"/>
          </w:tcPr>
          <w:p>
            <w:pPr>
              <w:spacing w:line="280" w:lineRule="exact"/>
              <w:rPr>
                <w:rFonts w:ascii="仿宋_GB2312" w:hAnsi="仿宋_GB2312" w:eastAsia="仿宋_GB2312" w:cs="仿宋_GB2312"/>
                <w:sz w:val="24"/>
                <w:szCs w:val="24"/>
              </w:rPr>
            </w:pPr>
          </w:p>
        </w:tc>
      </w:tr>
    </w:tbl>
    <w:p>
      <w:pPr>
        <w:spacing w:line="576" w:lineRule="exact"/>
        <w:jc w:val="left"/>
        <w:rPr>
          <w:rFonts w:ascii="仿宋_GB2312" w:eastAsia="仿宋_GB2312"/>
          <w:bCs/>
          <w:color w:val="000000"/>
          <w:sz w:val="28"/>
          <w:szCs w:val="28"/>
        </w:rPr>
      </w:pPr>
      <w:r>
        <w:rPr>
          <w:rFonts w:hint="eastAsia" w:ascii="仿宋_GB2312" w:eastAsia="仿宋_GB2312"/>
          <w:bCs/>
          <w:color w:val="000000"/>
          <w:sz w:val="28"/>
          <w:szCs w:val="28"/>
        </w:rPr>
        <w:t>附件1</w:t>
      </w:r>
    </w:p>
    <w:p>
      <w:pPr>
        <w:spacing w:line="576" w:lineRule="exact"/>
        <w:jc w:val="center"/>
        <w:rPr>
          <w:rFonts w:ascii="方正小标宋简体" w:eastAsia="方正小标宋简体"/>
          <w:bCs/>
          <w:color w:val="000000"/>
          <w:sz w:val="32"/>
          <w:szCs w:val="32"/>
        </w:rPr>
      </w:pPr>
      <w:r>
        <w:rPr>
          <w:rFonts w:hint="eastAsia" w:ascii="方正小标宋简体" w:eastAsia="方正小标宋简体"/>
          <w:bCs/>
          <w:color w:val="000000"/>
          <w:sz w:val="32"/>
          <w:szCs w:val="32"/>
        </w:rPr>
        <w:t>安阳幼儿师范高等专科学校课程考试命题合理性审查表</w:t>
      </w:r>
    </w:p>
    <w:p>
      <w:pPr>
        <w:spacing w:line="400" w:lineRule="exact"/>
        <w:ind w:firstLine="420" w:firstLineChars="200"/>
        <w:jc w:val="left"/>
        <w:rPr>
          <w:rFonts w:ascii="仿宋_GB2312" w:eastAsia="仿宋_GB2312"/>
          <w:bCs/>
          <w:color w:val="000000"/>
        </w:rPr>
        <w:sectPr>
          <w:pgSz w:w="11906" w:h="16838"/>
          <w:pgMar w:top="1440" w:right="1440" w:bottom="1440" w:left="1440" w:header="851" w:footer="1134" w:gutter="0"/>
          <w:cols w:space="0" w:num="1"/>
          <w:docGrid w:linePitch="312" w:charSpace="0"/>
        </w:sectPr>
      </w:pPr>
      <w:r>
        <w:rPr>
          <w:rFonts w:hint="eastAsia" w:ascii="仿宋_GB2312" w:eastAsia="仿宋_GB2312"/>
          <w:bCs/>
          <w:color w:val="000000"/>
        </w:rPr>
        <w:t>注：考试前，本表需与试卷、参考答案一起交主管教学的副主任审核、签字；考试后，本表需与试卷一同装入试卷袋中保存；随试卷归档时，本表可复印；由多名教师承担的相同课程，只需提交一份。</w:t>
      </w:r>
    </w:p>
    <w:p>
      <w:pPr>
        <w:spacing w:line="576" w:lineRule="exact"/>
        <w:jc w:val="left"/>
        <w:rPr>
          <w:rFonts w:ascii="仿宋_GB2312" w:hAnsi="仿宋" w:eastAsia="仿宋_GB2312" w:cs="仿宋"/>
          <w:kern w:val="0"/>
          <w:sz w:val="36"/>
          <w:szCs w:val="36"/>
        </w:rPr>
      </w:pPr>
      <w:r>
        <w:rPr>
          <w:rFonts w:hint="eastAsia" w:ascii="仿宋_GB2312" w:hAnsi="仿宋" w:eastAsia="仿宋_GB2312" w:cs="仿宋"/>
          <w:kern w:val="0"/>
          <w:sz w:val="32"/>
          <w:szCs w:val="32"/>
        </w:rPr>
        <w:t>附件2</w:t>
      </w:r>
    </w:p>
    <w:p>
      <w:pPr>
        <w:spacing w:line="576" w:lineRule="exact"/>
        <w:jc w:val="center"/>
        <w:rPr>
          <w:rFonts w:ascii="方正小标宋简体" w:hAnsi="仿宋" w:eastAsia="方正小标宋简体" w:cs="仿宋"/>
          <w:kern w:val="0"/>
          <w:sz w:val="36"/>
          <w:szCs w:val="36"/>
        </w:rPr>
      </w:pPr>
      <w:r>
        <w:rPr>
          <w:rFonts w:hint="eastAsia" w:ascii="方正小标宋简体" w:hAnsi="仿宋" w:eastAsia="方正小标宋简体" w:cs="仿宋"/>
          <w:kern w:val="0"/>
          <w:sz w:val="36"/>
          <w:szCs w:val="36"/>
        </w:rPr>
        <w:t>安阳幼儿师范高等专科学校课程目标达成度分析量表</w:t>
      </w:r>
      <w:r>
        <w:rPr>
          <w:rFonts w:hint="eastAsia" w:ascii="楷体" w:hAnsi="楷体" w:eastAsia="楷体" w:cs="仿宋"/>
          <w:kern w:val="0"/>
          <w:sz w:val="30"/>
          <w:szCs w:val="30"/>
        </w:rPr>
        <w:t>（参考样表）</w:t>
      </w:r>
    </w:p>
    <w:p>
      <w:pPr>
        <w:spacing w:before="120" w:beforeLines="50" w:after="120" w:afterLines="50"/>
        <w:jc w:val="left"/>
        <w:textAlignment w:val="center"/>
        <w:rPr>
          <w:rFonts w:ascii="仿宋_GB2312" w:hAnsi="仿宋" w:eastAsia="仿宋_GB2312" w:cs="仿宋"/>
          <w:kern w:val="0"/>
          <w:szCs w:val="21"/>
        </w:rPr>
      </w:pPr>
      <w:r>
        <w:rPr>
          <w:rFonts w:hint="eastAsia" w:ascii="仿宋" w:hAnsi="仿宋" w:eastAsia="仿宋" w:cs="仿宋"/>
          <w:color w:val="000000"/>
          <w:kern w:val="0"/>
          <w:szCs w:val="21"/>
        </w:rPr>
        <w:t>开课学院：                                                                                          开课专业：</w:t>
      </w:r>
    </w:p>
    <w:tbl>
      <w:tblPr>
        <w:tblStyle w:val="3"/>
        <w:tblW w:w="4962" w:type="pct"/>
        <w:tblInd w:w="108" w:type="dxa"/>
        <w:tblLayout w:type="fixed"/>
        <w:tblCellMar>
          <w:top w:w="0" w:type="dxa"/>
          <w:left w:w="108" w:type="dxa"/>
          <w:bottom w:w="0" w:type="dxa"/>
          <w:right w:w="108" w:type="dxa"/>
        </w:tblCellMar>
      </w:tblPr>
      <w:tblGrid>
        <w:gridCol w:w="700"/>
        <w:gridCol w:w="841"/>
        <w:gridCol w:w="700"/>
        <w:gridCol w:w="701"/>
        <w:gridCol w:w="285"/>
        <w:gridCol w:w="418"/>
        <w:gridCol w:w="708"/>
        <w:gridCol w:w="703"/>
        <w:gridCol w:w="704"/>
        <w:gridCol w:w="708"/>
        <w:gridCol w:w="704"/>
        <w:gridCol w:w="703"/>
        <w:gridCol w:w="704"/>
        <w:gridCol w:w="704"/>
        <w:gridCol w:w="704"/>
        <w:gridCol w:w="574"/>
        <w:gridCol w:w="129"/>
        <w:gridCol w:w="704"/>
        <w:gridCol w:w="704"/>
        <w:gridCol w:w="984"/>
        <w:gridCol w:w="984"/>
      </w:tblGrid>
      <w:tr>
        <w:tblPrEx>
          <w:tblCellMar>
            <w:top w:w="0" w:type="dxa"/>
            <w:left w:w="108" w:type="dxa"/>
            <w:bottom w:w="0" w:type="dxa"/>
            <w:right w:w="108" w:type="dxa"/>
          </w:tblCellMar>
        </w:tblPrEx>
        <w:trPr>
          <w:trHeight w:val="454" w:hRule="atLeast"/>
        </w:trPr>
        <w:tc>
          <w:tcPr>
            <w:tcW w:w="1541" w:type="dxa"/>
            <w:gridSpan w:val="2"/>
            <w:tcBorders>
              <w:top w:val="single" w:color="000000" w:sz="8" w:space="0"/>
              <w:left w:val="single" w:color="auto" w:sz="4" w:space="0"/>
              <w:bottom w:val="single" w:color="000000" w:sz="8" w:space="0"/>
              <w:right w:val="single" w:color="auto" w:sz="4" w:space="0"/>
            </w:tcBorders>
            <w:shd w:val="clear" w:color="auto" w:fill="auto"/>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课程名称</w:t>
            </w:r>
          </w:p>
        </w:tc>
        <w:tc>
          <w:tcPr>
            <w:tcW w:w="4219" w:type="dxa"/>
            <w:gridSpan w:val="7"/>
            <w:tcBorders>
              <w:top w:val="single" w:color="000000" w:sz="8" w:space="0"/>
              <w:left w:val="single" w:color="auto" w:sz="4" w:space="0"/>
              <w:bottom w:val="single" w:color="auto" w:sz="4" w:space="0"/>
              <w:right w:val="single" w:color="auto" w:sz="4" w:space="0"/>
            </w:tcBorders>
            <w:shd w:val="clear" w:color="auto" w:fill="auto"/>
            <w:vAlign w:val="center"/>
          </w:tcPr>
          <w:p>
            <w:pPr>
              <w:jc w:val="center"/>
              <w:textAlignment w:val="center"/>
              <w:rPr>
                <w:rFonts w:ascii="仿宋" w:hAnsi="仿宋" w:eastAsia="仿宋" w:cs="仿宋"/>
                <w:color w:val="000000"/>
                <w:szCs w:val="21"/>
              </w:rPr>
            </w:pPr>
          </w:p>
        </w:tc>
        <w:tc>
          <w:tcPr>
            <w:tcW w:w="1412" w:type="dxa"/>
            <w:gridSpan w:val="2"/>
            <w:tcBorders>
              <w:top w:val="single" w:color="000000" w:sz="8" w:space="0"/>
              <w:left w:val="single" w:color="auto" w:sz="4" w:space="0"/>
              <w:bottom w:val="single" w:color="000000" w:sz="8" w:space="0"/>
              <w:right w:val="single" w:color="auto" w:sz="4" w:space="0"/>
            </w:tcBorders>
            <w:shd w:val="clear" w:color="auto" w:fill="auto"/>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开课学期</w:t>
            </w:r>
          </w:p>
        </w:tc>
        <w:tc>
          <w:tcPr>
            <w:tcW w:w="3389" w:type="dxa"/>
            <w:gridSpan w:val="5"/>
            <w:tcBorders>
              <w:top w:val="single" w:color="000000" w:sz="8" w:space="0"/>
              <w:left w:val="single" w:color="auto" w:sz="4" w:space="0"/>
              <w:bottom w:val="single" w:color="000000" w:sz="8" w:space="0"/>
              <w:right w:val="single" w:color="auto" w:sz="4" w:space="0"/>
            </w:tcBorders>
            <w:shd w:val="clear" w:color="auto" w:fill="auto"/>
            <w:vAlign w:val="center"/>
          </w:tcPr>
          <w:p>
            <w:pPr>
              <w:jc w:val="center"/>
              <w:textAlignment w:val="center"/>
              <w:rPr>
                <w:rFonts w:ascii="仿宋" w:hAnsi="仿宋" w:eastAsia="仿宋" w:cs="仿宋"/>
                <w:color w:val="000000"/>
                <w:szCs w:val="21"/>
              </w:rPr>
            </w:pPr>
          </w:p>
        </w:tc>
        <w:tc>
          <w:tcPr>
            <w:tcW w:w="1537" w:type="dxa"/>
            <w:gridSpan w:val="3"/>
            <w:tcBorders>
              <w:top w:val="single" w:color="000000" w:sz="8" w:space="0"/>
              <w:left w:val="single" w:color="auto" w:sz="4" w:space="0"/>
              <w:bottom w:val="single" w:color="000000" w:sz="8" w:space="0"/>
              <w:right w:val="single" w:color="auto" w:sz="4" w:space="0"/>
            </w:tcBorders>
            <w:shd w:val="clear" w:color="auto" w:fill="auto"/>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开课班级</w:t>
            </w:r>
          </w:p>
        </w:tc>
        <w:tc>
          <w:tcPr>
            <w:tcW w:w="1968" w:type="dxa"/>
            <w:gridSpan w:val="2"/>
            <w:tcBorders>
              <w:top w:val="single" w:color="000000" w:sz="8" w:space="0"/>
              <w:left w:val="single" w:color="auto" w:sz="4" w:space="0"/>
              <w:bottom w:val="single" w:color="000000" w:sz="8" w:space="0"/>
              <w:right w:val="single" w:color="000000" w:sz="8" w:space="0"/>
            </w:tcBorders>
            <w:shd w:val="clear" w:color="auto" w:fill="auto"/>
            <w:vAlign w:val="center"/>
          </w:tcPr>
          <w:p>
            <w:pPr>
              <w:ind w:left="1044"/>
              <w:jc w:val="left"/>
              <w:textAlignment w:val="center"/>
              <w:rPr>
                <w:rFonts w:ascii="仿宋" w:hAnsi="仿宋" w:eastAsia="仿宋" w:cs="仿宋"/>
                <w:color w:val="000000"/>
                <w:szCs w:val="21"/>
              </w:rPr>
            </w:pPr>
          </w:p>
        </w:tc>
      </w:tr>
      <w:tr>
        <w:tblPrEx>
          <w:tblCellMar>
            <w:top w:w="0" w:type="dxa"/>
            <w:left w:w="108" w:type="dxa"/>
            <w:bottom w:w="0" w:type="dxa"/>
            <w:right w:w="108" w:type="dxa"/>
          </w:tblCellMar>
        </w:tblPrEx>
        <w:trPr>
          <w:trHeight w:val="454" w:hRule="atLeast"/>
        </w:trPr>
        <w:tc>
          <w:tcPr>
            <w:tcW w:w="1541" w:type="dxa"/>
            <w:gridSpan w:val="2"/>
            <w:tcBorders>
              <w:top w:val="single" w:color="000000" w:sz="8" w:space="0"/>
              <w:left w:val="single" w:color="auto" w:sz="4" w:space="0"/>
              <w:bottom w:val="single" w:color="000000" w:sz="8" w:space="0"/>
              <w:right w:val="single" w:color="auto" w:sz="4" w:space="0"/>
            </w:tcBorders>
            <w:shd w:val="clear" w:color="auto" w:fill="auto"/>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课程性质</w:t>
            </w:r>
          </w:p>
        </w:tc>
        <w:tc>
          <w:tcPr>
            <w:tcW w:w="1686" w:type="dxa"/>
            <w:gridSpan w:val="3"/>
            <w:tcBorders>
              <w:top w:val="single" w:color="auto" w:sz="4" w:space="0"/>
              <w:left w:val="single" w:color="auto" w:sz="4" w:space="0"/>
              <w:bottom w:val="single" w:color="000000" w:sz="8" w:space="0"/>
              <w:right w:val="single" w:color="auto" w:sz="4" w:space="0"/>
            </w:tcBorders>
            <w:shd w:val="clear" w:color="auto" w:fill="auto"/>
            <w:vAlign w:val="center"/>
          </w:tcPr>
          <w:p>
            <w:pPr>
              <w:jc w:val="left"/>
              <w:textAlignment w:val="center"/>
              <w:rPr>
                <w:rFonts w:ascii="仿宋" w:hAnsi="仿宋" w:eastAsia="仿宋" w:cs="仿宋"/>
                <w:color w:val="000000"/>
                <w:szCs w:val="21"/>
              </w:rPr>
            </w:pPr>
          </w:p>
        </w:tc>
        <w:tc>
          <w:tcPr>
            <w:tcW w:w="1126" w:type="dxa"/>
            <w:gridSpan w:val="2"/>
            <w:tcBorders>
              <w:top w:val="single" w:color="000000" w:sz="8" w:space="0"/>
              <w:left w:val="single" w:color="auto" w:sz="4" w:space="0"/>
              <w:bottom w:val="single" w:color="000000" w:sz="8" w:space="0"/>
              <w:right w:val="single" w:color="auto" w:sz="4" w:space="0"/>
            </w:tcBorders>
            <w:shd w:val="clear" w:color="auto" w:fill="auto"/>
            <w:vAlign w:val="center"/>
          </w:tcPr>
          <w:p>
            <w:pPr>
              <w:ind w:left="48"/>
              <w:jc w:val="center"/>
              <w:textAlignment w:val="center"/>
              <w:rPr>
                <w:rFonts w:ascii="仿宋" w:hAnsi="仿宋" w:eastAsia="仿宋" w:cs="仿宋"/>
                <w:color w:val="000000"/>
                <w:szCs w:val="21"/>
              </w:rPr>
            </w:pPr>
            <w:r>
              <w:rPr>
                <w:rFonts w:hint="eastAsia" w:ascii="Times New Roman" w:hAnsi="Times New Roman" w:eastAsia="仿宋" w:cs="Times New Roman"/>
                <w:color w:val="000000"/>
                <w:kern w:val="0"/>
                <w:szCs w:val="21"/>
              </w:rPr>
              <w:t>课程学分</w:t>
            </w:r>
          </w:p>
        </w:tc>
        <w:tc>
          <w:tcPr>
            <w:tcW w:w="1407" w:type="dxa"/>
            <w:gridSpan w:val="2"/>
            <w:tcBorders>
              <w:top w:val="single" w:color="000000" w:sz="8" w:space="0"/>
              <w:left w:val="single" w:color="auto" w:sz="4" w:space="0"/>
              <w:bottom w:val="single" w:color="000000" w:sz="8" w:space="0"/>
              <w:right w:val="single" w:color="auto" w:sz="4" w:space="0"/>
            </w:tcBorders>
            <w:shd w:val="clear" w:color="auto" w:fill="auto"/>
            <w:vAlign w:val="center"/>
          </w:tcPr>
          <w:p>
            <w:pPr>
              <w:ind w:left="48"/>
              <w:textAlignment w:val="center"/>
              <w:rPr>
                <w:rFonts w:ascii="仿宋" w:hAnsi="仿宋" w:eastAsia="仿宋" w:cs="仿宋"/>
                <w:color w:val="000000"/>
                <w:szCs w:val="21"/>
              </w:rPr>
            </w:pPr>
          </w:p>
        </w:tc>
        <w:tc>
          <w:tcPr>
            <w:tcW w:w="1412" w:type="dxa"/>
            <w:gridSpan w:val="2"/>
            <w:tcBorders>
              <w:top w:val="single" w:color="000000" w:sz="8" w:space="0"/>
              <w:left w:val="single" w:color="auto" w:sz="4" w:space="0"/>
              <w:bottom w:val="single" w:color="000000" w:sz="8" w:space="0"/>
              <w:right w:val="single" w:color="auto" w:sz="4" w:space="0"/>
            </w:tcBorders>
            <w:shd w:val="clear" w:color="auto" w:fill="auto"/>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考核方式</w:t>
            </w:r>
          </w:p>
        </w:tc>
        <w:tc>
          <w:tcPr>
            <w:tcW w:w="2111" w:type="dxa"/>
            <w:gridSpan w:val="3"/>
            <w:tcBorders>
              <w:top w:val="single" w:color="000000" w:sz="8" w:space="0"/>
              <w:left w:val="single" w:color="auto" w:sz="4" w:space="0"/>
              <w:bottom w:val="single" w:color="000000" w:sz="8" w:space="0"/>
              <w:right w:val="single" w:color="auto" w:sz="4" w:space="0"/>
            </w:tcBorders>
            <w:shd w:val="clear" w:color="auto" w:fill="auto"/>
            <w:vAlign w:val="center"/>
          </w:tcPr>
          <w:p>
            <w:pPr>
              <w:jc w:val="center"/>
              <w:textAlignment w:val="center"/>
              <w:rPr>
                <w:rFonts w:ascii="仿宋" w:hAnsi="仿宋" w:eastAsia="仿宋" w:cs="仿宋"/>
                <w:color w:val="000000"/>
                <w:szCs w:val="21"/>
              </w:rPr>
            </w:pPr>
          </w:p>
        </w:tc>
        <w:tc>
          <w:tcPr>
            <w:tcW w:w="2815" w:type="dxa"/>
            <w:gridSpan w:val="5"/>
            <w:tcBorders>
              <w:top w:val="single" w:color="000000" w:sz="8" w:space="0"/>
              <w:left w:val="single" w:color="auto" w:sz="4" w:space="0"/>
              <w:bottom w:val="single" w:color="000000" w:sz="8" w:space="0"/>
              <w:right w:val="single" w:color="auto" w:sz="4" w:space="0"/>
            </w:tcBorders>
            <w:shd w:val="clear" w:color="auto" w:fill="auto"/>
            <w:vAlign w:val="center"/>
          </w:tcPr>
          <w:p>
            <w:pPr>
              <w:jc w:val="center"/>
              <w:textAlignment w:val="center"/>
              <w:rPr>
                <w:rFonts w:ascii="仿宋" w:hAnsi="仿宋" w:eastAsia="仿宋" w:cs="仿宋"/>
                <w:color w:val="000000"/>
                <w:szCs w:val="21"/>
              </w:rPr>
            </w:pPr>
            <w:r>
              <w:rPr>
                <w:rFonts w:hint="eastAsia" w:ascii="Times New Roman" w:hAnsi="Times New Roman" w:eastAsia="仿宋" w:cs="Times New Roman"/>
                <w:color w:val="000000"/>
                <w:kern w:val="0"/>
                <w:szCs w:val="21"/>
              </w:rPr>
              <w:t>任课教师</w:t>
            </w:r>
          </w:p>
        </w:tc>
        <w:tc>
          <w:tcPr>
            <w:tcW w:w="1968" w:type="dxa"/>
            <w:gridSpan w:val="2"/>
            <w:tcBorders>
              <w:top w:val="single" w:color="000000" w:sz="8" w:space="0"/>
              <w:left w:val="single" w:color="auto" w:sz="4" w:space="0"/>
              <w:bottom w:val="single" w:color="000000" w:sz="8" w:space="0"/>
              <w:right w:val="single" w:color="000000" w:sz="8" w:space="0"/>
            </w:tcBorders>
            <w:shd w:val="clear" w:color="auto" w:fill="auto"/>
            <w:vAlign w:val="center"/>
          </w:tcPr>
          <w:p>
            <w:pPr>
              <w:jc w:val="left"/>
              <w:textAlignment w:val="center"/>
              <w:rPr>
                <w:rFonts w:ascii="仿宋" w:hAnsi="仿宋" w:eastAsia="仿宋" w:cs="仿宋"/>
                <w:color w:val="000000"/>
                <w:szCs w:val="21"/>
              </w:rPr>
            </w:pPr>
          </w:p>
        </w:tc>
      </w:tr>
      <w:tr>
        <w:tblPrEx>
          <w:tblCellMar>
            <w:top w:w="0" w:type="dxa"/>
            <w:left w:w="108" w:type="dxa"/>
            <w:bottom w:w="0" w:type="dxa"/>
            <w:right w:w="108" w:type="dxa"/>
          </w:tblCellMar>
        </w:tblPrEx>
        <w:trPr>
          <w:trHeight w:val="454" w:hRule="atLeast"/>
        </w:trPr>
        <w:tc>
          <w:tcPr>
            <w:tcW w:w="700" w:type="dxa"/>
            <w:vMerge w:val="restart"/>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学号</w:t>
            </w:r>
          </w:p>
        </w:tc>
        <w:tc>
          <w:tcPr>
            <w:tcW w:w="841" w:type="dxa"/>
            <w:vMerge w:val="restart"/>
            <w:tcBorders>
              <w:top w:val="single" w:color="000000" w:sz="8" w:space="0"/>
              <w:left w:val="single" w:color="000000" w:sz="8" w:space="0"/>
              <w:bottom w:val="nil"/>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姓名</w:t>
            </w:r>
          </w:p>
        </w:tc>
        <w:tc>
          <w:tcPr>
            <w:tcW w:w="2812" w:type="dxa"/>
            <w:gridSpan w:val="5"/>
            <w:tcBorders>
              <w:top w:val="single" w:color="000000" w:sz="8" w:space="0"/>
              <w:left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课程目标</w:t>
            </w:r>
            <w:r>
              <w:rPr>
                <w:rFonts w:ascii="Times New Roman" w:hAnsi="Times New Roman" w:eastAsia="仿宋" w:cs="Times New Roman"/>
                <w:color w:val="000000"/>
                <w:kern w:val="0"/>
                <w:szCs w:val="21"/>
              </w:rPr>
              <w:t>1</w:t>
            </w:r>
          </w:p>
        </w:tc>
        <w:tc>
          <w:tcPr>
            <w:tcW w:w="2819" w:type="dxa"/>
            <w:gridSpan w:val="4"/>
            <w:tcBorders>
              <w:top w:val="single" w:color="000000" w:sz="8" w:space="0"/>
              <w:left w:val="single" w:color="000000" w:sz="8" w:space="0"/>
              <w:right w:val="single" w:color="auto" w:sz="4" w:space="0"/>
            </w:tcBorders>
            <w:shd w:val="clear" w:color="auto" w:fill="auto"/>
            <w:vAlign w:val="center"/>
          </w:tcPr>
          <w:p>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rPr>
              <w:t>课程目标</w:t>
            </w:r>
            <w:r>
              <w:rPr>
                <w:rFonts w:ascii="Times New Roman" w:hAnsi="Times New Roman" w:eastAsia="仿宋" w:cs="Times New Roman"/>
                <w:color w:val="000000"/>
                <w:kern w:val="0"/>
                <w:szCs w:val="21"/>
              </w:rPr>
              <w:t>2</w:t>
            </w:r>
          </w:p>
        </w:tc>
        <w:tc>
          <w:tcPr>
            <w:tcW w:w="2111" w:type="dxa"/>
            <w:gridSpan w:val="3"/>
            <w:tcBorders>
              <w:top w:val="single" w:color="000000" w:sz="8"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课程目标3</w:t>
            </w:r>
          </w:p>
        </w:tc>
        <w:tc>
          <w:tcPr>
            <w:tcW w:w="2815" w:type="dxa"/>
            <w:gridSpan w:val="5"/>
            <w:tcBorders>
              <w:top w:val="single" w:color="000000" w:sz="8" w:space="0"/>
              <w:left w:val="single" w:color="auto" w:sz="4" w:space="0"/>
              <w:bottom w:val="single" w:color="auto" w:sz="4" w:space="0"/>
              <w:right w:val="single" w:color="auto" w:sz="4" w:space="0"/>
            </w:tcBorders>
            <w:shd w:val="clear" w:color="auto" w:fill="auto"/>
            <w:vAlign w:val="center"/>
          </w:tcPr>
          <w:p>
            <w:pPr>
              <w:widowControl/>
              <w:spacing w:line="280" w:lineRule="exact"/>
              <w:jc w:val="center"/>
              <w:textAlignment w:val="center"/>
              <w:rPr>
                <w:rFonts w:ascii="黑体" w:hAnsi="黑体" w:eastAsia="黑体" w:cs="仿宋"/>
                <w:color w:val="000000"/>
                <w:szCs w:val="21"/>
              </w:rPr>
            </w:pPr>
            <w:r>
              <w:rPr>
                <w:rFonts w:hint="eastAsia" w:ascii="黑体" w:hAnsi="黑体" w:eastAsia="黑体" w:cs="仿宋"/>
                <w:color w:val="000000"/>
                <w:szCs w:val="21"/>
              </w:rPr>
              <w:t>过程考核P(100)，权重0.4</w:t>
            </w:r>
          </w:p>
        </w:tc>
        <w:tc>
          <w:tcPr>
            <w:tcW w:w="984" w:type="dxa"/>
            <w:vMerge w:val="restart"/>
            <w:tcBorders>
              <w:top w:val="single" w:color="000000" w:sz="8" w:space="0"/>
              <w:left w:val="single" w:color="auto" w:sz="4" w:space="0"/>
              <w:right w:val="single" w:color="000000" w:sz="8" w:space="0"/>
            </w:tcBorders>
            <w:shd w:val="clear" w:color="auto" w:fill="auto"/>
            <w:vAlign w:val="center"/>
          </w:tcPr>
          <w:p>
            <w:pPr>
              <w:widowControl/>
              <w:spacing w:line="280" w:lineRule="exact"/>
              <w:jc w:val="center"/>
              <w:textAlignment w:val="center"/>
              <w:rPr>
                <w:rFonts w:ascii="黑体" w:hAnsi="黑体" w:eastAsia="黑体" w:cs="仿宋"/>
                <w:color w:val="000000"/>
                <w:szCs w:val="21"/>
              </w:rPr>
            </w:pPr>
            <w:r>
              <w:rPr>
                <w:rFonts w:hint="eastAsia" w:ascii="黑体" w:hAnsi="黑体" w:eastAsia="黑体" w:cs="仿宋"/>
                <w:color w:val="000000"/>
                <w:szCs w:val="21"/>
              </w:rPr>
              <w:t>期末</w:t>
            </w:r>
          </w:p>
          <w:p>
            <w:pPr>
              <w:widowControl/>
              <w:spacing w:line="280" w:lineRule="exact"/>
              <w:jc w:val="center"/>
              <w:textAlignment w:val="center"/>
              <w:rPr>
                <w:rFonts w:ascii="黑体" w:hAnsi="黑体" w:eastAsia="黑体" w:cs="仿宋"/>
                <w:color w:val="000000"/>
                <w:szCs w:val="21"/>
              </w:rPr>
            </w:pPr>
            <w:r>
              <w:rPr>
                <w:rFonts w:hint="eastAsia" w:ascii="黑体" w:hAnsi="黑体" w:eastAsia="黑体" w:cs="仿宋"/>
                <w:color w:val="000000"/>
                <w:szCs w:val="21"/>
              </w:rPr>
              <w:t>考试</w:t>
            </w:r>
          </w:p>
          <w:p>
            <w:pPr>
              <w:widowControl/>
              <w:spacing w:line="280" w:lineRule="exact"/>
              <w:jc w:val="center"/>
              <w:textAlignment w:val="center"/>
              <w:rPr>
                <w:rFonts w:ascii="黑体" w:hAnsi="黑体" w:eastAsia="黑体" w:cs="仿宋"/>
                <w:color w:val="000000"/>
                <w:szCs w:val="21"/>
              </w:rPr>
            </w:pPr>
            <w:r>
              <w:rPr>
                <w:rFonts w:hint="eastAsia" w:ascii="黑体" w:hAnsi="黑体" w:eastAsia="黑体" w:cs="仿宋"/>
                <w:color w:val="000000"/>
                <w:szCs w:val="21"/>
              </w:rPr>
              <w:t>F</w:t>
            </w:r>
          </w:p>
          <w:p>
            <w:pPr>
              <w:widowControl/>
              <w:spacing w:line="280" w:lineRule="exact"/>
              <w:jc w:val="center"/>
              <w:textAlignment w:val="center"/>
              <w:rPr>
                <w:rFonts w:ascii="黑体" w:hAnsi="黑体" w:eastAsia="黑体" w:cs="仿宋"/>
                <w:color w:val="000000"/>
                <w:szCs w:val="21"/>
              </w:rPr>
            </w:pPr>
            <w:r>
              <w:rPr>
                <w:rFonts w:hint="eastAsia" w:ascii="黑体" w:hAnsi="黑体" w:eastAsia="黑体" w:cs="仿宋"/>
                <w:color w:val="000000"/>
                <w:szCs w:val="21"/>
              </w:rPr>
              <w:t>(100)</w:t>
            </w:r>
          </w:p>
          <w:p>
            <w:pPr>
              <w:widowControl/>
              <w:spacing w:line="280" w:lineRule="exact"/>
              <w:jc w:val="center"/>
              <w:textAlignment w:val="center"/>
              <w:rPr>
                <w:rFonts w:ascii="黑体" w:hAnsi="黑体" w:eastAsia="黑体" w:cs="仿宋"/>
                <w:color w:val="000000"/>
                <w:szCs w:val="21"/>
              </w:rPr>
            </w:pPr>
            <w:r>
              <w:rPr>
                <w:rFonts w:hint="eastAsia" w:ascii="黑体" w:hAnsi="黑体" w:eastAsia="黑体" w:cs="仿宋"/>
                <w:color w:val="000000"/>
                <w:szCs w:val="21"/>
              </w:rPr>
              <w:t>权重0.6</w:t>
            </w:r>
          </w:p>
        </w:tc>
        <w:tc>
          <w:tcPr>
            <w:tcW w:w="984" w:type="dxa"/>
            <w:vMerge w:val="restart"/>
            <w:tcBorders>
              <w:top w:val="nil"/>
              <w:left w:val="nil"/>
              <w:right w:val="single" w:color="000000" w:sz="8" w:space="0"/>
            </w:tcBorders>
            <w:shd w:val="clear" w:color="auto" w:fill="auto"/>
            <w:vAlign w:val="center"/>
          </w:tcPr>
          <w:p>
            <w:pPr>
              <w:widowControl/>
              <w:spacing w:line="280" w:lineRule="exact"/>
              <w:jc w:val="center"/>
              <w:textAlignment w:val="center"/>
              <w:rPr>
                <w:rFonts w:ascii="黑体" w:hAnsi="黑体" w:eastAsia="黑体" w:cs="仿宋"/>
                <w:color w:val="000000"/>
                <w:kern w:val="0"/>
                <w:szCs w:val="21"/>
              </w:rPr>
            </w:pPr>
            <w:r>
              <w:rPr>
                <w:rFonts w:hint="eastAsia" w:ascii="黑体" w:hAnsi="黑体" w:eastAsia="黑体" w:cs="仿宋"/>
                <w:color w:val="000000"/>
                <w:kern w:val="0"/>
                <w:szCs w:val="21"/>
              </w:rPr>
              <w:t>总评</w:t>
            </w:r>
          </w:p>
          <w:p>
            <w:pPr>
              <w:widowControl/>
              <w:spacing w:line="280" w:lineRule="exact"/>
              <w:jc w:val="center"/>
              <w:textAlignment w:val="center"/>
              <w:rPr>
                <w:rFonts w:ascii="黑体" w:hAnsi="黑体" w:eastAsia="黑体" w:cs="仿宋"/>
                <w:color w:val="000000"/>
                <w:kern w:val="0"/>
                <w:szCs w:val="21"/>
              </w:rPr>
            </w:pPr>
            <w:r>
              <w:rPr>
                <w:rFonts w:hint="eastAsia" w:ascii="黑体" w:hAnsi="黑体" w:eastAsia="黑体" w:cs="仿宋"/>
                <w:color w:val="000000"/>
                <w:kern w:val="0"/>
                <w:szCs w:val="21"/>
              </w:rPr>
              <w:t>成绩</w:t>
            </w:r>
          </w:p>
          <w:p>
            <w:pPr>
              <w:widowControl/>
              <w:spacing w:line="280" w:lineRule="exact"/>
              <w:jc w:val="center"/>
              <w:textAlignment w:val="center"/>
              <w:rPr>
                <w:rFonts w:ascii="黑体" w:hAnsi="黑体" w:eastAsia="黑体" w:cs="仿宋"/>
                <w:color w:val="000000"/>
                <w:kern w:val="0"/>
                <w:szCs w:val="21"/>
              </w:rPr>
            </w:pPr>
            <w:r>
              <w:rPr>
                <w:rFonts w:hint="eastAsia" w:ascii="黑体" w:hAnsi="黑体" w:eastAsia="黑体" w:cs="仿宋"/>
                <w:color w:val="000000"/>
                <w:kern w:val="0"/>
                <w:szCs w:val="21"/>
              </w:rPr>
              <w:t>Z=P*0.4+F*0.6</w:t>
            </w:r>
          </w:p>
          <w:p>
            <w:pPr>
              <w:widowControl/>
              <w:spacing w:line="280" w:lineRule="exact"/>
              <w:jc w:val="center"/>
              <w:textAlignment w:val="center"/>
              <w:rPr>
                <w:rFonts w:ascii="黑体" w:hAnsi="黑体" w:eastAsia="黑体" w:cs="仿宋"/>
                <w:color w:val="000000"/>
                <w:szCs w:val="21"/>
              </w:rPr>
            </w:pPr>
            <w:r>
              <w:rPr>
                <w:rFonts w:hint="eastAsia" w:ascii="黑体" w:hAnsi="黑体" w:eastAsia="黑体" w:cs="仿宋"/>
                <w:color w:val="000000"/>
                <w:kern w:val="0"/>
                <w:szCs w:val="21"/>
              </w:rPr>
              <w:t>(100)</w:t>
            </w:r>
          </w:p>
        </w:tc>
      </w:tr>
      <w:tr>
        <w:tblPrEx>
          <w:tblCellMar>
            <w:top w:w="0" w:type="dxa"/>
            <w:left w:w="108" w:type="dxa"/>
            <w:bottom w:w="0" w:type="dxa"/>
            <w:right w:w="108" w:type="dxa"/>
          </w:tblCellMar>
        </w:tblPrEx>
        <w:trPr>
          <w:trHeight w:val="454" w:hRule="atLeast"/>
        </w:trPr>
        <w:tc>
          <w:tcPr>
            <w:tcW w:w="700"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841" w:type="dxa"/>
            <w:vMerge w:val="continue"/>
            <w:tcBorders>
              <w:top w:val="single" w:color="000000" w:sz="8" w:space="0"/>
              <w:left w:val="single" w:color="000000" w:sz="8" w:space="0"/>
              <w:bottom w:val="nil"/>
              <w:right w:val="single" w:color="000000" w:sz="8" w:space="0"/>
            </w:tcBorders>
            <w:shd w:val="clear" w:color="auto" w:fill="auto"/>
            <w:vAlign w:val="center"/>
          </w:tcPr>
          <w:p>
            <w:pPr>
              <w:jc w:val="center"/>
              <w:rPr>
                <w:rFonts w:ascii="仿宋" w:hAnsi="仿宋" w:eastAsia="仿宋" w:cs="仿宋"/>
                <w:color w:val="000000"/>
                <w:szCs w:val="21"/>
              </w:rPr>
            </w:pPr>
          </w:p>
        </w:tc>
        <w:tc>
          <w:tcPr>
            <w:tcW w:w="700" w:type="dxa"/>
            <w:tcBorders>
              <w:top w:val="single" w:color="auto" w:sz="4" w:space="0"/>
              <w:left w:val="nil"/>
              <w:bottom w:val="single" w:color="000000" w:sz="8" w:space="0"/>
              <w:right w:val="single" w:color="000000" w:sz="8" w:space="0"/>
            </w:tcBorders>
            <w:shd w:val="clear" w:color="auto" w:fill="auto"/>
            <w:vAlign w:val="center"/>
          </w:tcPr>
          <w:p>
            <w:pPr>
              <w:widowControl/>
              <w:spacing w:line="28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课堂表现</w:t>
            </w:r>
          </w:p>
          <w:p>
            <w:pPr>
              <w:widowControl/>
              <w:spacing w:line="28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B</w:t>
            </w:r>
          </w:p>
          <w:p>
            <w:pPr>
              <w:widowControl/>
              <w:spacing w:line="28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(20)</w:t>
            </w:r>
          </w:p>
        </w:tc>
        <w:tc>
          <w:tcPr>
            <w:tcW w:w="701" w:type="dxa"/>
            <w:tcBorders>
              <w:top w:val="single" w:color="auto" w:sz="4" w:space="0"/>
              <w:left w:val="nil"/>
              <w:bottom w:val="single" w:color="000000" w:sz="8" w:space="0"/>
              <w:right w:val="single" w:color="000000" w:sz="8" w:space="0"/>
            </w:tcBorders>
            <w:shd w:val="clear" w:color="auto" w:fill="auto"/>
            <w:vAlign w:val="center"/>
          </w:tcPr>
          <w:p>
            <w:pPr>
              <w:widowControl/>
              <w:spacing w:line="28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平时作业</w:t>
            </w:r>
          </w:p>
          <w:p>
            <w:pPr>
              <w:widowControl/>
              <w:spacing w:line="28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D1</w:t>
            </w:r>
          </w:p>
          <w:p>
            <w:pPr>
              <w:widowControl/>
              <w:spacing w:line="28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(20)</w:t>
            </w:r>
          </w:p>
        </w:tc>
        <w:tc>
          <w:tcPr>
            <w:tcW w:w="703" w:type="dxa"/>
            <w:gridSpan w:val="2"/>
            <w:tcBorders>
              <w:top w:val="single" w:color="auto" w:sz="4" w:space="0"/>
              <w:left w:val="nil"/>
              <w:bottom w:val="single" w:color="000000" w:sz="8" w:space="0"/>
              <w:right w:val="single" w:color="000000" w:sz="8" w:space="0"/>
            </w:tcBorders>
            <w:shd w:val="clear" w:color="auto" w:fill="auto"/>
            <w:vAlign w:val="center"/>
          </w:tcPr>
          <w:p>
            <w:pPr>
              <w:widowControl/>
              <w:spacing w:line="28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期末考试</w:t>
            </w:r>
          </w:p>
          <w:p>
            <w:pPr>
              <w:widowControl/>
              <w:spacing w:line="280" w:lineRule="exact"/>
              <w:jc w:val="center"/>
              <w:textAlignment w:val="center"/>
              <w:rPr>
                <w:rFonts w:ascii="仿宋" w:hAnsi="仿宋" w:eastAsia="仿宋" w:cs="仿宋"/>
                <w:color w:val="000000"/>
                <w:kern w:val="0"/>
                <w:szCs w:val="21"/>
              </w:rPr>
            </w:pPr>
            <w:r>
              <w:rPr>
                <w:rFonts w:hint="eastAsia" w:ascii="仿宋" w:hAnsi="仿宋" w:eastAsia="仿宋" w:cs="仿宋"/>
                <w:color w:val="000000"/>
                <w:kern w:val="0"/>
                <w:szCs w:val="21"/>
              </w:rPr>
              <w:t>F1</w:t>
            </w:r>
          </w:p>
          <w:p>
            <w:pPr>
              <w:widowControl/>
              <w:spacing w:line="28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(20)</w:t>
            </w:r>
          </w:p>
        </w:tc>
        <w:tc>
          <w:tcPr>
            <w:tcW w:w="708" w:type="dxa"/>
            <w:tcBorders>
              <w:top w:val="single" w:color="auto" w:sz="4" w:space="0"/>
              <w:left w:val="nil"/>
              <w:bottom w:val="single" w:color="000000" w:sz="8" w:space="0"/>
              <w:right w:val="single" w:color="000000" w:sz="8" w:space="0"/>
            </w:tcBorders>
            <w:shd w:val="clear" w:color="auto" w:fill="auto"/>
            <w:vAlign w:val="center"/>
          </w:tcPr>
          <w:p>
            <w:pPr>
              <w:widowControl/>
              <w:spacing w:line="28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达成度</w:t>
            </w:r>
          </w:p>
          <w:p>
            <w:pPr>
              <w:widowControl/>
              <w:spacing w:line="28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G1</w:t>
            </w:r>
          </w:p>
          <w:p>
            <w:pPr>
              <w:widowControl/>
              <w:spacing w:line="28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（1）</w:t>
            </w:r>
          </w:p>
        </w:tc>
        <w:tc>
          <w:tcPr>
            <w:tcW w:w="703" w:type="dxa"/>
            <w:tcBorders>
              <w:top w:val="single" w:color="auto" w:sz="4" w:space="0"/>
              <w:left w:val="nil"/>
              <w:bottom w:val="single" w:color="000000" w:sz="8" w:space="0"/>
              <w:right w:val="single" w:color="000000" w:sz="8" w:space="0"/>
            </w:tcBorders>
            <w:shd w:val="clear" w:color="auto" w:fill="auto"/>
            <w:vAlign w:val="center"/>
          </w:tcPr>
          <w:p>
            <w:pPr>
              <w:widowControl/>
              <w:spacing w:line="28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上课考勤</w:t>
            </w:r>
          </w:p>
          <w:p>
            <w:pPr>
              <w:widowControl/>
              <w:spacing w:line="28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A</w:t>
            </w:r>
          </w:p>
          <w:p>
            <w:pPr>
              <w:widowControl/>
              <w:spacing w:line="28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(10)</w:t>
            </w:r>
          </w:p>
        </w:tc>
        <w:tc>
          <w:tcPr>
            <w:tcW w:w="704" w:type="dxa"/>
            <w:tcBorders>
              <w:top w:val="single" w:color="auto" w:sz="4" w:space="0"/>
              <w:left w:val="nil"/>
              <w:bottom w:val="single" w:color="000000" w:sz="8" w:space="0"/>
              <w:right w:val="single" w:color="000000" w:sz="8" w:space="0"/>
            </w:tcBorders>
            <w:shd w:val="clear" w:color="auto" w:fill="auto"/>
            <w:vAlign w:val="center"/>
          </w:tcPr>
          <w:p>
            <w:pPr>
              <w:widowControl/>
              <w:spacing w:line="28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小设</w:t>
            </w:r>
          </w:p>
          <w:p>
            <w:pPr>
              <w:widowControl/>
              <w:spacing w:line="28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计</w:t>
            </w:r>
          </w:p>
          <w:p>
            <w:pPr>
              <w:widowControl/>
              <w:spacing w:line="28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C</w:t>
            </w:r>
          </w:p>
          <w:p>
            <w:pPr>
              <w:widowControl/>
              <w:spacing w:line="28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(30)</w:t>
            </w:r>
          </w:p>
        </w:tc>
        <w:tc>
          <w:tcPr>
            <w:tcW w:w="708" w:type="dxa"/>
            <w:tcBorders>
              <w:top w:val="single" w:color="auto" w:sz="4" w:space="0"/>
              <w:left w:val="nil"/>
              <w:bottom w:val="single" w:color="000000" w:sz="8" w:space="0"/>
              <w:right w:val="single" w:color="auto" w:sz="4" w:space="0"/>
            </w:tcBorders>
            <w:shd w:val="clear" w:color="auto" w:fill="auto"/>
            <w:vAlign w:val="center"/>
          </w:tcPr>
          <w:p>
            <w:pPr>
              <w:widowControl/>
              <w:spacing w:line="28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期末考试</w:t>
            </w:r>
          </w:p>
          <w:p>
            <w:pPr>
              <w:widowControl/>
              <w:spacing w:line="28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F2</w:t>
            </w:r>
          </w:p>
          <w:p>
            <w:pPr>
              <w:widowControl/>
              <w:spacing w:line="28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(40)</w:t>
            </w:r>
          </w:p>
        </w:tc>
        <w:tc>
          <w:tcPr>
            <w:tcW w:w="704" w:type="dxa"/>
            <w:tcBorders>
              <w:top w:val="single" w:color="auto" w:sz="4" w:space="0"/>
              <w:left w:val="nil"/>
              <w:bottom w:val="single" w:color="000000" w:sz="8" w:space="0"/>
              <w:right w:val="single" w:color="auto" w:sz="4" w:space="0"/>
            </w:tcBorders>
            <w:shd w:val="clear" w:color="auto" w:fill="auto"/>
            <w:vAlign w:val="center"/>
          </w:tcPr>
          <w:p>
            <w:pPr>
              <w:widowControl/>
              <w:spacing w:line="28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达成度</w:t>
            </w:r>
          </w:p>
          <w:p>
            <w:pPr>
              <w:widowControl/>
              <w:spacing w:line="28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G2</w:t>
            </w:r>
          </w:p>
          <w:p>
            <w:pPr>
              <w:widowControl/>
              <w:spacing w:line="280" w:lineRule="exact"/>
              <w:jc w:val="center"/>
              <w:textAlignment w:val="center"/>
              <w:rPr>
                <w:rFonts w:ascii="仿宋" w:hAnsi="仿宋" w:eastAsia="仿宋" w:cs="仿宋"/>
                <w:color w:val="000000"/>
                <w:szCs w:val="21"/>
              </w:rPr>
            </w:pPr>
            <w:r>
              <w:rPr>
                <w:rFonts w:hint="eastAsia" w:ascii="仿宋" w:hAnsi="仿宋" w:eastAsia="仿宋" w:cs="仿宋"/>
                <w:color w:val="000000"/>
                <w:szCs w:val="21"/>
              </w:rPr>
              <w:t>（1）</w:t>
            </w:r>
          </w:p>
        </w:tc>
        <w:tc>
          <w:tcPr>
            <w:tcW w:w="703" w:type="dxa"/>
            <w:tcBorders>
              <w:top w:val="single" w:color="auto" w:sz="4" w:space="0"/>
              <w:left w:val="single" w:color="auto" w:sz="4" w:space="0"/>
              <w:bottom w:val="single" w:color="000000" w:sz="8" w:space="0"/>
              <w:right w:val="single" w:color="auto" w:sz="4" w:space="0"/>
            </w:tcBorders>
            <w:shd w:val="clear" w:color="auto" w:fill="auto"/>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Cs w:val="21"/>
              </w:rPr>
              <w:t>平时作业</w:t>
            </w:r>
          </w:p>
          <w:p>
            <w:pPr>
              <w:jc w:val="center"/>
              <w:textAlignment w:val="center"/>
              <w:rPr>
                <w:rFonts w:ascii="仿宋" w:hAnsi="仿宋" w:eastAsia="仿宋" w:cs="仿宋"/>
                <w:color w:val="000000"/>
                <w:szCs w:val="21"/>
              </w:rPr>
            </w:pPr>
            <w:r>
              <w:rPr>
                <w:rFonts w:hint="eastAsia" w:ascii="仿宋" w:hAnsi="仿宋" w:eastAsia="仿宋" w:cs="仿宋"/>
                <w:color w:val="000000"/>
                <w:szCs w:val="21"/>
              </w:rPr>
              <w:t>D2</w:t>
            </w:r>
          </w:p>
          <w:p>
            <w:pPr>
              <w:jc w:val="center"/>
              <w:textAlignment w:val="center"/>
              <w:rPr>
                <w:rFonts w:ascii="仿宋" w:hAnsi="仿宋" w:eastAsia="仿宋" w:cs="仿宋"/>
                <w:color w:val="000000"/>
                <w:szCs w:val="21"/>
              </w:rPr>
            </w:pPr>
            <w:r>
              <w:rPr>
                <w:rFonts w:hint="eastAsia" w:ascii="仿宋" w:hAnsi="仿宋" w:eastAsia="仿宋" w:cs="仿宋"/>
                <w:color w:val="000000"/>
                <w:szCs w:val="21"/>
              </w:rPr>
              <w:t>(20)</w:t>
            </w:r>
          </w:p>
        </w:tc>
        <w:tc>
          <w:tcPr>
            <w:tcW w:w="704" w:type="dxa"/>
            <w:tcBorders>
              <w:top w:val="single" w:color="auto" w:sz="4" w:space="0"/>
              <w:left w:val="single" w:color="auto" w:sz="4" w:space="0"/>
              <w:bottom w:val="single" w:color="000000" w:sz="8" w:space="0"/>
              <w:right w:val="single" w:color="auto" w:sz="4" w:space="0"/>
            </w:tcBorders>
            <w:shd w:val="clear" w:color="auto" w:fill="auto"/>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Cs w:val="21"/>
              </w:rPr>
              <w:t>期末考试</w:t>
            </w:r>
          </w:p>
          <w:p>
            <w:pPr>
              <w:jc w:val="center"/>
              <w:textAlignment w:val="center"/>
              <w:rPr>
                <w:rFonts w:ascii="仿宋" w:hAnsi="仿宋" w:eastAsia="仿宋" w:cs="仿宋"/>
                <w:color w:val="000000"/>
                <w:szCs w:val="21"/>
              </w:rPr>
            </w:pPr>
            <w:r>
              <w:rPr>
                <w:rFonts w:hint="eastAsia" w:ascii="仿宋" w:hAnsi="仿宋" w:eastAsia="仿宋" w:cs="仿宋"/>
                <w:color w:val="000000"/>
                <w:szCs w:val="21"/>
              </w:rPr>
              <w:t>F3</w:t>
            </w:r>
          </w:p>
          <w:p>
            <w:pPr>
              <w:jc w:val="center"/>
              <w:textAlignment w:val="center"/>
              <w:rPr>
                <w:rFonts w:ascii="仿宋" w:hAnsi="仿宋" w:eastAsia="仿宋" w:cs="仿宋"/>
                <w:color w:val="000000"/>
                <w:szCs w:val="21"/>
              </w:rPr>
            </w:pPr>
            <w:r>
              <w:rPr>
                <w:rFonts w:hint="eastAsia" w:ascii="仿宋" w:hAnsi="仿宋" w:eastAsia="仿宋" w:cs="仿宋"/>
                <w:color w:val="000000"/>
                <w:szCs w:val="21"/>
              </w:rPr>
              <w:t>(40)</w:t>
            </w:r>
          </w:p>
        </w:tc>
        <w:tc>
          <w:tcPr>
            <w:tcW w:w="704" w:type="dxa"/>
            <w:tcBorders>
              <w:top w:val="single" w:color="auto" w:sz="4" w:space="0"/>
              <w:left w:val="single" w:color="auto" w:sz="4" w:space="0"/>
              <w:bottom w:val="single" w:color="000000" w:sz="8" w:space="0"/>
              <w:right w:val="single" w:color="auto" w:sz="4" w:space="0"/>
            </w:tcBorders>
            <w:shd w:val="clear" w:color="auto" w:fill="auto"/>
            <w:vAlign w:val="center"/>
          </w:tcPr>
          <w:p>
            <w:pPr>
              <w:jc w:val="center"/>
              <w:textAlignment w:val="center"/>
              <w:rPr>
                <w:rFonts w:ascii="仿宋" w:hAnsi="仿宋" w:eastAsia="仿宋" w:cs="仿宋"/>
                <w:color w:val="000000"/>
                <w:szCs w:val="21"/>
              </w:rPr>
            </w:pPr>
            <w:r>
              <w:rPr>
                <w:rFonts w:hint="eastAsia" w:ascii="仿宋" w:hAnsi="仿宋" w:eastAsia="仿宋" w:cs="仿宋"/>
                <w:color w:val="000000"/>
                <w:szCs w:val="21"/>
              </w:rPr>
              <w:t>达成度</w:t>
            </w:r>
          </w:p>
          <w:p>
            <w:pPr>
              <w:jc w:val="center"/>
              <w:textAlignment w:val="center"/>
              <w:rPr>
                <w:rFonts w:ascii="仿宋" w:hAnsi="仿宋" w:eastAsia="仿宋" w:cs="仿宋"/>
                <w:color w:val="000000"/>
                <w:szCs w:val="21"/>
              </w:rPr>
            </w:pPr>
            <w:r>
              <w:rPr>
                <w:rFonts w:hint="eastAsia" w:ascii="仿宋" w:hAnsi="仿宋" w:eastAsia="仿宋" w:cs="仿宋"/>
                <w:color w:val="000000"/>
                <w:szCs w:val="21"/>
              </w:rPr>
              <w:t>G3</w:t>
            </w:r>
          </w:p>
          <w:p>
            <w:pPr>
              <w:jc w:val="center"/>
              <w:textAlignment w:val="center"/>
              <w:rPr>
                <w:rFonts w:ascii="仿宋" w:hAnsi="仿宋" w:eastAsia="仿宋" w:cs="仿宋"/>
                <w:color w:val="000000"/>
                <w:szCs w:val="21"/>
              </w:rPr>
            </w:pPr>
            <w:r>
              <w:rPr>
                <w:rFonts w:hint="eastAsia" w:ascii="仿宋" w:hAnsi="仿宋" w:eastAsia="仿宋" w:cs="仿宋"/>
                <w:color w:val="000000"/>
                <w:szCs w:val="21"/>
              </w:rPr>
              <w:t>（1）</w:t>
            </w:r>
          </w:p>
        </w:tc>
        <w:tc>
          <w:tcPr>
            <w:tcW w:w="704" w:type="dxa"/>
            <w:tcBorders>
              <w:top w:val="single" w:color="auto" w:sz="4" w:space="0"/>
              <w:left w:val="single" w:color="auto" w:sz="4" w:space="0"/>
              <w:bottom w:val="single" w:color="000000" w:sz="8" w:space="0"/>
              <w:right w:val="single" w:color="auto" w:sz="4" w:space="0"/>
            </w:tcBorders>
            <w:shd w:val="clear" w:color="auto" w:fill="auto"/>
            <w:vAlign w:val="center"/>
          </w:tcPr>
          <w:p>
            <w:pPr>
              <w:spacing w:line="280" w:lineRule="exact"/>
              <w:jc w:val="center"/>
              <w:textAlignment w:val="center"/>
              <w:rPr>
                <w:rFonts w:ascii="黑体" w:hAnsi="黑体" w:eastAsia="黑体" w:cs="仿宋"/>
                <w:color w:val="000000"/>
                <w:szCs w:val="21"/>
              </w:rPr>
            </w:pPr>
            <w:r>
              <w:rPr>
                <w:rFonts w:hint="eastAsia" w:ascii="黑体" w:hAnsi="黑体" w:eastAsia="黑体" w:cs="仿宋"/>
                <w:color w:val="000000"/>
                <w:szCs w:val="21"/>
              </w:rPr>
              <w:t>上课</w:t>
            </w:r>
          </w:p>
          <w:p>
            <w:pPr>
              <w:spacing w:line="280" w:lineRule="exact"/>
              <w:jc w:val="center"/>
              <w:textAlignment w:val="center"/>
              <w:rPr>
                <w:rFonts w:ascii="黑体" w:hAnsi="黑体" w:eastAsia="黑体" w:cs="仿宋"/>
                <w:color w:val="000000"/>
                <w:szCs w:val="21"/>
              </w:rPr>
            </w:pPr>
            <w:r>
              <w:rPr>
                <w:rFonts w:hint="eastAsia" w:ascii="黑体" w:hAnsi="黑体" w:eastAsia="黑体" w:cs="仿宋"/>
                <w:color w:val="000000"/>
                <w:szCs w:val="21"/>
              </w:rPr>
              <w:t>考勤A</w:t>
            </w:r>
          </w:p>
          <w:p>
            <w:pPr>
              <w:spacing w:line="280" w:lineRule="exact"/>
              <w:jc w:val="center"/>
              <w:textAlignment w:val="center"/>
              <w:rPr>
                <w:rFonts w:ascii="黑体" w:hAnsi="黑体" w:eastAsia="黑体" w:cs="仿宋"/>
                <w:color w:val="000000"/>
                <w:szCs w:val="21"/>
              </w:rPr>
            </w:pPr>
            <w:r>
              <w:rPr>
                <w:rFonts w:hint="eastAsia" w:ascii="黑体" w:hAnsi="黑体" w:eastAsia="黑体" w:cs="仿宋"/>
                <w:color w:val="000000"/>
                <w:szCs w:val="21"/>
              </w:rPr>
              <w:t>(10)</w:t>
            </w:r>
          </w:p>
        </w:tc>
        <w:tc>
          <w:tcPr>
            <w:tcW w:w="703" w:type="dxa"/>
            <w:gridSpan w:val="2"/>
            <w:tcBorders>
              <w:top w:val="single" w:color="auto" w:sz="4" w:space="0"/>
              <w:left w:val="single" w:color="auto" w:sz="4" w:space="0"/>
              <w:bottom w:val="single" w:color="000000" w:sz="8" w:space="0"/>
              <w:right w:val="single" w:color="auto" w:sz="4" w:space="0"/>
            </w:tcBorders>
            <w:shd w:val="clear" w:color="auto" w:fill="auto"/>
            <w:vAlign w:val="center"/>
          </w:tcPr>
          <w:p>
            <w:pPr>
              <w:spacing w:line="280" w:lineRule="exact"/>
              <w:jc w:val="center"/>
              <w:textAlignment w:val="center"/>
              <w:rPr>
                <w:rFonts w:ascii="黑体" w:hAnsi="黑体" w:eastAsia="黑体" w:cs="仿宋"/>
                <w:color w:val="000000"/>
                <w:szCs w:val="21"/>
              </w:rPr>
            </w:pPr>
            <w:r>
              <w:rPr>
                <w:rFonts w:hint="eastAsia" w:ascii="黑体" w:hAnsi="黑体" w:eastAsia="黑体" w:cs="仿宋"/>
                <w:color w:val="000000"/>
                <w:szCs w:val="21"/>
              </w:rPr>
              <w:t>课堂</w:t>
            </w:r>
          </w:p>
          <w:p>
            <w:pPr>
              <w:spacing w:line="280" w:lineRule="exact"/>
              <w:jc w:val="center"/>
              <w:textAlignment w:val="center"/>
              <w:rPr>
                <w:rFonts w:ascii="黑体" w:hAnsi="黑体" w:eastAsia="黑体" w:cs="仿宋"/>
                <w:color w:val="000000"/>
                <w:szCs w:val="21"/>
              </w:rPr>
            </w:pPr>
            <w:r>
              <w:rPr>
                <w:rFonts w:hint="eastAsia" w:ascii="黑体" w:hAnsi="黑体" w:eastAsia="黑体" w:cs="仿宋"/>
                <w:color w:val="000000"/>
                <w:szCs w:val="21"/>
              </w:rPr>
              <w:t>表现B</w:t>
            </w:r>
          </w:p>
          <w:p>
            <w:pPr>
              <w:spacing w:line="280" w:lineRule="exact"/>
              <w:jc w:val="center"/>
              <w:textAlignment w:val="center"/>
              <w:rPr>
                <w:rFonts w:ascii="黑体" w:hAnsi="黑体" w:eastAsia="黑体" w:cs="仿宋"/>
                <w:color w:val="000000"/>
                <w:szCs w:val="21"/>
              </w:rPr>
            </w:pPr>
            <w:r>
              <w:rPr>
                <w:rFonts w:hint="eastAsia" w:ascii="黑体" w:hAnsi="黑体" w:eastAsia="黑体" w:cs="仿宋"/>
                <w:color w:val="000000"/>
                <w:szCs w:val="21"/>
              </w:rPr>
              <w:t>(20)</w:t>
            </w:r>
          </w:p>
        </w:tc>
        <w:tc>
          <w:tcPr>
            <w:tcW w:w="704" w:type="dxa"/>
            <w:tcBorders>
              <w:top w:val="single" w:color="auto" w:sz="4" w:space="0"/>
              <w:left w:val="single" w:color="auto" w:sz="4" w:space="0"/>
              <w:bottom w:val="single" w:color="000000" w:sz="8" w:space="0"/>
              <w:right w:val="single" w:color="auto" w:sz="4" w:space="0"/>
            </w:tcBorders>
            <w:shd w:val="clear" w:color="auto" w:fill="auto"/>
            <w:vAlign w:val="center"/>
          </w:tcPr>
          <w:p>
            <w:pPr>
              <w:spacing w:line="280" w:lineRule="exact"/>
              <w:jc w:val="center"/>
              <w:textAlignment w:val="center"/>
              <w:rPr>
                <w:rFonts w:ascii="黑体" w:hAnsi="黑体" w:eastAsia="黑体" w:cs="仿宋"/>
                <w:color w:val="000000"/>
                <w:szCs w:val="21"/>
              </w:rPr>
            </w:pPr>
            <w:r>
              <w:rPr>
                <w:rFonts w:hint="eastAsia" w:ascii="黑体" w:hAnsi="黑体" w:eastAsia="黑体" w:cs="仿宋"/>
                <w:color w:val="000000"/>
                <w:szCs w:val="21"/>
              </w:rPr>
              <w:t>小设计</w:t>
            </w:r>
          </w:p>
          <w:p>
            <w:pPr>
              <w:spacing w:line="280" w:lineRule="exact"/>
              <w:jc w:val="center"/>
              <w:textAlignment w:val="center"/>
              <w:rPr>
                <w:rFonts w:ascii="黑体" w:hAnsi="黑体" w:eastAsia="黑体" w:cs="仿宋"/>
                <w:color w:val="000000"/>
                <w:szCs w:val="21"/>
              </w:rPr>
            </w:pPr>
            <w:r>
              <w:rPr>
                <w:rFonts w:hint="eastAsia" w:ascii="黑体" w:hAnsi="黑体" w:eastAsia="黑体" w:cs="仿宋"/>
                <w:color w:val="000000"/>
                <w:szCs w:val="21"/>
              </w:rPr>
              <w:t>C</w:t>
            </w:r>
          </w:p>
          <w:p>
            <w:pPr>
              <w:spacing w:line="280" w:lineRule="exact"/>
              <w:jc w:val="center"/>
              <w:textAlignment w:val="center"/>
              <w:rPr>
                <w:rFonts w:ascii="黑体" w:hAnsi="黑体" w:eastAsia="黑体" w:cs="仿宋"/>
                <w:color w:val="000000"/>
                <w:szCs w:val="21"/>
              </w:rPr>
            </w:pPr>
            <w:r>
              <w:rPr>
                <w:rFonts w:hint="eastAsia" w:ascii="黑体" w:hAnsi="黑体" w:eastAsia="黑体" w:cs="仿宋"/>
                <w:color w:val="000000"/>
                <w:szCs w:val="21"/>
              </w:rPr>
              <w:t>(30)</w:t>
            </w:r>
          </w:p>
        </w:tc>
        <w:tc>
          <w:tcPr>
            <w:tcW w:w="704" w:type="dxa"/>
            <w:tcBorders>
              <w:top w:val="single" w:color="auto" w:sz="4" w:space="0"/>
              <w:left w:val="single" w:color="auto" w:sz="4" w:space="0"/>
              <w:bottom w:val="single" w:color="000000" w:sz="8" w:space="0"/>
              <w:right w:val="single" w:color="auto" w:sz="4" w:space="0"/>
            </w:tcBorders>
            <w:shd w:val="clear" w:color="auto" w:fill="auto"/>
            <w:vAlign w:val="center"/>
          </w:tcPr>
          <w:p>
            <w:pPr>
              <w:spacing w:line="280" w:lineRule="exact"/>
              <w:jc w:val="center"/>
              <w:textAlignment w:val="center"/>
              <w:rPr>
                <w:rFonts w:ascii="黑体" w:hAnsi="黑体" w:eastAsia="黑体" w:cs="仿宋"/>
                <w:color w:val="000000"/>
                <w:szCs w:val="21"/>
              </w:rPr>
            </w:pPr>
            <w:r>
              <w:rPr>
                <w:rFonts w:hint="eastAsia" w:ascii="黑体" w:hAnsi="黑体" w:eastAsia="黑体" w:cs="仿宋"/>
                <w:color w:val="000000"/>
                <w:szCs w:val="21"/>
              </w:rPr>
              <w:t>平时</w:t>
            </w:r>
          </w:p>
          <w:p>
            <w:pPr>
              <w:spacing w:line="280" w:lineRule="exact"/>
              <w:jc w:val="center"/>
              <w:textAlignment w:val="center"/>
              <w:rPr>
                <w:rFonts w:ascii="黑体" w:hAnsi="黑体" w:eastAsia="黑体" w:cs="仿宋"/>
                <w:color w:val="000000"/>
                <w:szCs w:val="21"/>
              </w:rPr>
            </w:pPr>
            <w:r>
              <w:rPr>
                <w:rFonts w:hint="eastAsia" w:ascii="黑体" w:hAnsi="黑体" w:eastAsia="黑体" w:cs="仿宋"/>
                <w:color w:val="000000"/>
                <w:szCs w:val="21"/>
              </w:rPr>
              <w:t>作业D</w:t>
            </w:r>
          </w:p>
          <w:p>
            <w:pPr>
              <w:spacing w:line="280" w:lineRule="exact"/>
              <w:jc w:val="center"/>
              <w:textAlignment w:val="center"/>
              <w:rPr>
                <w:rFonts w:ascii="黑体" w:hAnsi="黑体" w:eastAsia="黑体" w:cs="仿宋"/>
                <w:color w:val="000000"/>
                <w:szCs w:val="21"/>
              </w:rPr>
            </w:pPr>
            <w:r>
              <w:rPr>
                <w:rFonts w:hint="eastAsia" w:ascii="黑体" w:hAnsi="黑体" w:eastAsia="黑体" w:cs="仿宋"/>
                <w:color w:val="000000"/>
                <w:szCs w:val="21"/>
              </w:rPr>
              <w:t>(40)</w:t>
            </w:r>
          </w:p>
        </w:tc>
        <w:tc>
          <w:tcPr>
            <w:tcW w:w="984" w:type="dxa"/>
            <w:vMerge w:val="continue"/>
            <w:tcBorders>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p>
        </w:tc>
        <w:tc>
          <w:tcPr>
            <w:tcW w:w="984" w:type="dxa"/>
            <w:vMerge w:val="continue"/>
            <w:tcBorders>
              <w:left w:val="nil"/>
              <w:bottom w:val="single" w:color="auto" w:sz="4" w:space="0"/>
              <w:right w:val="single" w:color="000000" w:sz="8" w:space="0"/>
            </w:tcBorders>
            <w:shd w:val="clear" w:color="auto" w:fill="auto"/>
            <w:vAlign w:val="center"/>
          </w:tcPr>
          <w:p>
            <w:pPr>
              <w:widowControl/>
              <w:jc w:val="center"/>
              <w:textAlignment w:val="center"/>
              <w:rPr>
                <w:rFonts w:ascii="仿宋" w:hAnsi="仿宋" w:eastAsia="仿宋" w:cs="仿宋"/>
                <w:color w:val="000000"/>
                <w:szCs w:val="21"/>
              </w:rPr>
            </w:pPr>
          </w:p>
        </w:tc>
      </w:tr>
      <w:tr>
        <w:tblPrEx>
          <w:tblCellMar>
            <w:top w:w="0" w:type="dxa"/>
            <w:left w:w="108" w:type="dxa"/>
            <w:bottom w:w="0" w:type="dxa"/>
            <w:right w:w="108" w:type="dxa"/>
          </w:tblCellMar>
        </w:tblPrEx>
        <w:trPr>
          <w:trHeight w:val="45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Cs w:val="21"/>
              </w:rPr>
            </w:pPr>
            <w:r>
              <w:rPr>
                <w:rFonts w:hint="eastAsia" w:ascii="Times New Roman" w:hAnsi="Times New Roman" w:cs="Times New Roman"/>
                <w:color w:val="000000"/>
                <w:szCs w:val="21"/>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Cs w:val="21"/>
              </w:rPr>
            </w:pPr>
          </w:p>
        </w:tc>
        <w:tc>
          <w:tcPr>
            <w:tcW w:w="7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B1</w:t>
            </w:r>
          </w:p>
        </w:tc>
        <w:tc>
          <w:tcPr>
            <w:tcW w:w="70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D11</w:t>
            </w:r>
          </w:p>
        </w:tc>
        <w:tc>
          <w:tcPr>
            <w:tcW w:w="703"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F11</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p>
        </w:tc>
        <w:tc>
          <w:tcPr>
            <w:tcW w:w="70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A1</w:t>
            </w:r>
          </w:p>
        </w:tc>
        <w:tc>
          <w:tcPr>
            <w:tcW w:w="70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C1</w:t>
            </w:r>
          </w:p>
        </w:tc>
        <w:tc>
          <w:tcPr>
            <w:tcW w:w="708" w:type="dxa"/>
            <w:tcBorders>
              <w:top w:val="nil"/>
              <w:left w:val="nil"/>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F21</w:t>
            </w:r>
          </w:p>
        </w:tc>
        <w:tc>
          <w:tcPr>
            <w:tcW w:w="704" w:type="dxa"/>
            <w:tcBorders>
              <w:top w:val="nil"/>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p>
        </w:tc>
        <w:tc>
          <w:tcPr>
            <w:tcW w:w="703" w:type="dxa"/>
            <w:tcBorders>
              <w:top w:val="nil"/>
              <w:left w:val="nil"/>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D21</w:t>
            </w:r>
          </w:p>
        </w:tc>
        <w:tc>
          <w:tcPr>
            <w:tcW w:w="704" w:type="dxa"/>
            <w:tcBorders>
              <w:top w:val="nil"/>
              <w:left w:val="nil"/>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F31</w:t>
            </w:r>
          </w:p>
        </w:tc>
        <w:tc>
          <w:tcPr>
            <w:tcW w:w="704" w:type="dxa"/>
            <w:tcBorders>
              <w:top w:val="nil"/>
              <w:left w:val="nil"/>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p>
        </w:tc>
        <w:tc>
          <w:tcPr>
            <w:tcW w:w="704" w:type="dxa"/>
            <w:tcBorders>
              <w:top w:val="nil"/>
              <w:left w:val="single" w:color="auto" w:sz="4" w:space="0"/>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A1</w:t>
            </w:r>
          </w:p>
        </w:tc>
        <w:tc>
          <w:tcPr>
            <w:tcW w:w="703" w:type="dxa"/>
            <w:gridSpan w:val="2"/>
            <w:tcBorders>
              <w:top w:val="nil"/>
              <w:left w:val="single" w:color="auto" w:sz="4" w:space="0"/>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B1</w:t>
            </w:r>
          </w:p>
        </w:tc>
        <w:tc>
          <w:tcPr>
            <w:tcW w:w="704" w:type="dxa"/>
            <w:tcBorders>
              <w:top w:val="nil"/>
              <w:left w:val="single" w:color="auto" w:sz="4" w:space="0"/>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C1</w:t>
            </w:r>
          </w:p>
        </w:tc>
        <w:tc>
          <w:tcPr>
            <w:tcW w:w="704" w:type="dxa"/>
            <w:tcBorders>
              <w:top w:val="nil"/>
              <w:left w:val="single" w:color="auto" w:sz="4" w:space="0"/>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D11</w:t>
            </w:r>
          </w:p>
          <w:p>
            <w:pPr>
              <w:widowControl/>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+D21</w:t>
            </w:r>
          </w:p>
        </w:tc>
        <w:tc>
          <w:tcPr>
            <w:tcW w:w="984" w:type="dxa"/>
            <w:tcBorders>
              <w:top w:val="nil"/>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F11+F21+F31</w:t>
            </w:r>
          </w:p>
        </w:tc>
        <w:tc>
          <w:tcPr>
            <w:tcW w:w="98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等线" w:cs="Times New Roman"/>
                <w:color w:val="000000"/>
                <w:szCs w:val="21"/>
              </w:rPr>
            </w:pPr>
          </w:p>
        </w:tc>
      </w:tr>
      <w:tr>
        <w:tblPrEx>
          <w:tblCellMar>
            <w:top w:w="0" w:type="dxa"/>
            <w:left w:w="108" w:type="dxa"/>
            <w:bottom w:w="0" w:type="dxa"/>
            <w:right w:w="108" w:type="dxa"/>
          </w:tblCellMar>
        </w:tblPrEx>
        <w:trPr>
          <w:trHeight w:val="45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Cs w:val="21"/>
              </w:rPr>
            </w:pPr>
            <w:r>
              <w:rPr>
                <w:rFonts w:hint="eastAsia" w:ascii="Times New Roman" w:hAnsi="Times New Roman" w:cs="Times New Roman"/>
                <w:color w:val="000000"/>
                <w:szCs w:val="21"/>
              </w:rPr>
              <w:t>2</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Cs w:val="21"/>
              </w:rPr>
            </w:pPr>
          </w:p>
        </w:tc>
        <w:tc>
          <w:tcPr>
            <w:tcW w:w="7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B2</w:t>
            </w:r>
          </w:p>
        </w:tc>
        <w:tc>
          <w:tcPr>
            <w:tcW w:w="70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D12</w:t>
            </w:r>
          </w:p>
        </w:tc>
        <w:tc>
          <w:tcPr>
            <w:tcW w:w="703"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F12</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p>
        </w:tc>
        <w:tc>
          <w:tcPr>
            <w:tcW w:w="70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A2</w:t>
            </w:r>
          </w:p>
        </w:tc>
        <w:tc>
          <w:tcPr>
            <w:tcW w:w="70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C2</w:t>
            </w:r>
          </w:p>
        </w:tc>
        <w:tc>
          <w:tcPr>
            <w:tcW w:w="708" w:type="dxa"/>
            <w:tcBorders>
              <w:top w:val="nil"/>
              <w:left w:val="nil"/>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F22</w:t>
            </w:r>
          </w:p>
        </w:tc>
        <w:tc>
          <w:tcPr>
            <w:tcW w:w="704" w:type="dxa"/>
            <w:tcBorders>
              <w:top w:val="nil"/>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p>
        </w:tc>
        <w:tc>
          <w:tcPr>
            <w:tcW w:w="703" w:type="dxa"/>
            <w:tcBorders>
              <w:top w:val="nil"/>
              <w:left w:val="nil"/>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D22</w:t>
            </w:r>
          </w:p>
        </w:tc>
        <w:tc>
          <w:tcPr>
            <w:tcW w:w="704" w:type="dxa"/>
            <w:tcBorders>
              <w:top w:val="nil"/>
              <w:left w:val="nil"/>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F32</w:t>
            </w:r>
          </w:p>
        </w:tc>
        <w:tc>
          <w:tcPr>
            <w:tcW w:w="704" w:type="dxa"/>
            <w:tcBorders>
              <w:top w:val="nil"/>
              <w:left w:val="nil"/>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p>
        </w:tc>
        <w:tc>
          <w:tcPr>
            <w:tcW w:w="704" w:type="dxa"/>
            <w:tcBorders>
              <w:top w:val="nil"/>
              <w:left w:val="single" w:color="auto" w:sz="4" w:space="0"/>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A2</w:t>
            </w:r>
          </w:p>
        </w:tc>
        <w:tc>
          <w:tcPr>
            <w:tcW w:w="703" w:type="dxa"/>
            <w:gridSpan w:val="2"/>
            <w:tcBorders>
              <w:top w:val="nil"/>
              <w:left w:val="single" w:color="auto" w:sz="4" w:space="0"/>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B2</w:t>
            </w:r>
          </w:p>
        </w:tc>
        <w:tc>
          <w:tcPr>
            <w:tcW w:w="704" w:type="dxa"/>
            <w:tcBorders>
              <w:top w:val="nil"/>
              <w:left w:val="single" w:color="auto" w:sz="4" w:space="0"/>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C2</w:t>
            </w:r>
          </w:p>
        </w:tc>
        <w:tc>
          <w:tcPr>
            <w:tcW w:w="704" w:type="dxa"/>
            <w:tcBorders>
              <w:top w:val="nil"/>
              <w:left w:val="single" w:color="auto" w:sz="4" w:space="0"/>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D12</w:t>
            </w:r>
          </w:p>
          <w:p>
            <w:pPr>
              <w:widowControl/>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+D22</w:t>
            </w:r>
          </w:p>
        </w:tc>
        <w:tc>
          <w:tcPr>
            <w:tcW w:w="984" w:type="dxa"/>
            <w:tcBorders>
              <w:top w:val="nil"/>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F</w:t>
            </w:r>
            <w:r>
              <w:rPr>
                <w:rFonts w:hint="eastAsia" w:ascii="Times New Roman" w:hAnsi="Times New Roman" w:eastAsia="仿宋" w:cs="Times New Roman"/>
                <w:color w:val="000000"/>
                <w:kern w:val="0"/>
                <w:sz w:val="18"/>
                <w:szCs w:val="18"/>
              </w:rPr>
              <w:t>12</w:t>
            </w:r>
            <w:r>
              <w:rPr>
                <w:rFonts w:ascii="Times New Roman" w:hAnsi="Times New Roman" w:eastAsia="仿宋" w:cs="Times New Roman"/>
                <w:color w:val="000000"/>
                <w:kern w:val="0"/>
                <w:sz w:val="18"/>
                <w:szCs w:val="18"/>
              </w:rPr>
              <w:t>+F</w:t>
            </w:r>
            <w:r>
              <w:rPr>
                <w:rFonts w:hint="eastAsia" w:ascii="Times New Roman" w:hAnsi="Times New Roman" w:eastAsia="仿宋" w:cs="Times New Roman"/>
                <w:color w:val="000000"/>
                <w:kern w:val="0"/>
                <w:sz w:val="18"/>
                <w:szCs w:val="18"/>
              </w:rPr>
              <w:t>22</w:t>
            </w:r>
            <w:r>
              <w:rPr>
                <w:rFonts w:ascii="Times New Roman" w:hAnsi="Times New Roman" w:eastAsia="仿宋" w:cs="Times New Roman"/>
                <w:color w:val="000000"/>
                <w:kern w:val="0"/>
                <w:sz w:val="18"/>
                <w:szCs w:val="18"/>
              </w:rPr>
              <w:t>+F</w:t>
            </w:r>
            <w:r>
              <w:rPr>
                <w:rFonts w:hint="eastAsia" w:ascii="Times New Roman" w:hAnsi="Times New Roman" w:eastAsia="仿宋" w:cs="Times New Roman"/>
                <w:color w:val="000000"/>
                <w:kern w:val="0"/>
                <w:sz w:val="18"/>
                <w:szCs w:val="18"/>
              </w:rPr>
              <w:t>32</w:t>
            </w:r>
          </w:p>
        </w:tc>
        <w:tc>
          <w:tcPr>
            <w:tcW w:w="98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等线" w:cs="Times New Roman"/>
                <w:color w:val="000000"/>
                <w:szCs w:val="21"/>
              </w:rPr>
            </w:pPr>
          </w:p>
        </w:tc>
      </w:tr>
      <w:tr>
        <w:tblPrEx>
          <w:tblCellMar>
            <w:top w:w="0" w:type="dxa"/>
            <w:left w:w="108" w:type="dxa"/>
            <w:bottom w:w="0" w:type="dxa"/>
            <w:right w:w="108" w:type="dxa"/>
          </w:tblCellMar>
        </w:tblPrEx>
        <w:trPr>
          <w:trHeight w:val="45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Cs w:val="21"/>
              </w:rPr>
            </w:pPr>
            <w:r>
              <w:rPr>
                <w:rFonts w:hint="eastAsia" w:ascii="Times New Roman" w:hAnsi="Times New Roman" w:cs="Times New Roman"/>
                <w:color w:val="000000"/>
                <w:szCs w:val="21"/>
              </w:rPr>
              <w:t>3</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Cs w:val="21"/>
              </w:rPr>
            </w:pPr>
          </w:p>
        </w:tc>
        <w:tc>
          <w:tcPr>
            <w:tcW w:w="7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B3</w:t>
            </w:r>
          </w:p>
        </w:tc>
        <w:tc>
          <w:tcPr>
            <w:tcW w:w="70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D13</w:t>
            </w:r>
          </w:p>
        </w:tc>
        <w:tc>
          <w:tcPr>
            <w:tcW w:w="703"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F13</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p>
        </w:tc>
        <w:tc>
          <w:tcPr>
            <w:tcW w:w="70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A3</w:t>
            </w:r>
          </w:p>
        </w:tc>
        <w:tc>
          <w:tcPr>
            <w:tcW w:w="70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C3</w:t>
            </w:r>
          </w:p>
        </w:tc>
        <w:tc>
          <w:tcPr>
            <w:tcW w:w="708" w:type="dxa"/>
            <w:tcBorders>
              <w:top w:val="nil"/>
              <w:left w:val="nil"/>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F23</w:t>
            </w:r>
          </w:p>
        </w:tc>
        <w:tc>
          <w:tcPr>
            <w:tcW w:w="704" w:type="dxa"/>
            <w:tcBorders>
              <w:top w:val="nil"/>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p>
        </w:tc>
        <w:tc>
          <w:tcPr>
            <w:tcW w:w="703" w:type="dxa"/>
            <w:tcBorders>
              <w:top w:val="nil"/>
              <w:left w:val="nil"/>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D23</w:t>
            </w:r>
          </w:p>
        </w:tc>
        <w:tc>
          <w:tcPr>
            <w:tcW w:w="704" w:type="dxa"/>
            <w:tcBorders>
              <w:top w:val="nil"/>
              <w:left w:val="nil"/>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F33</w:t>
            </w:r>
          </w:p>
        </w:tc>
        <w:tc>
          <w:tcPr>
            <w:tcW w:w="704" w:type="dxa"/>
            <w:tcBorders>
              <w:top w:val="nil"/>
              <w:left w:val="nil"/>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p>
        </w:tc>
        <w:tc>
          <w:tcPr>
            <w:tcW w:w="704" w:type="dxa"/>
            <w:tcBorders>
              <w:top w:val="nil"/>
              <w:left w:val="single" w:color="auto" w:sz="4" w:space="0"/>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A3</w:t>
            </w:r>
          </w:p>
        </w:tc>
        <w:tc>
          <w:tcPr>
            <w:tcW w:w="703" w:type="dxa"/>
            <w:gridSpan w:val="2"/>
            <w:tcBorders>
              <w:top w:val="nil"/>
              <w:left w:val="single" w:color="auto" w:sz="4" w:space="0"/>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B3</w:t>
            </w:r>
          </w:p>
        </w:tc>
        <w:tc>
          <w:tcPr>
            <w:tcW w:w="704" w:type="dxa"/>
            <w:tcBorders>
              <w:top w:val="nil"/>
              <w:left w:val="single" w:color="auto" w:sz="4" w:space="0"/>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C3</w:t>
            </w:r>
          </w:p>
        </w:tc>
        <w:tc>
          <w:tcPr>
            <w:tcW w:w="704" w:type="dxa"/>
            <w:tcBorders>
              <w:top w:val="nil"/>
              <w:left w:val="single" w:color="auto" w:sz="4" w:space="0"/>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D13</w:t>
            </w:r>
          </w:p>
          <w:p>
            <w:pPr>
              <w:widowControl/>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+D23</w:t>
            </w:r>
          </w:p>
        </w:tc>
        <w:tc>
          <w:tcPr>
            <w:tcW w:w="984" w:type="dxa"/>
            <w:tcBorders>
              <w:top w:val="nil"/>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仿宋" w:cs="Times New Roman"/>
                <w:color w:val="000000"/>
                <w:kern w:val="0"/>
                <w:sz w:val="18"/>
                <w:szCs w:val="18"/>
              </w:rPr>
            </w:pPr>
            <w:r>
              <w:rPr>
                <w:rFonts w:ascii="Times New Roman" w:hAnsi="Times New Roman" w:eastAsia="仿宋" w:cs="Times New Roman"/>
                <w:color w:val="000000"/>
                <w:kern w:val="0"/>
                <w:sz w:val="18"/>
                <w:szCs w:val="18"/>
              </w:rPr>
              <w:t>F1</w:t>
            </w:r>
            <w:r>
              <w:rPr>
                <w:rFonts w:hint="eastAsia" w:ascii="Times New Roman" w:hAnsi="Times New Roman" w:eastAsia="仿宋" w:cs="Times New Roman"/>
                <w:color w:val="000000"/>
                <w:kern w:val="0"/>
                <w:sz w:val="18"/>
                <w:szCs w:val="18"/>
              </w:rPr>
              <w:t>3</w:t>
            </w:r>
            <w:r>
              <w:rPr>
                <w:rFonts w:ascii="Times New Roman" w:hAnsi="Times New Roman" w:eastAsia="仿宋" w:cs="Times New Roman"/>
                <w:color w:val="000000"/>
                <w:kern w:val="0"/>
                <w:sz w:val="18"/>
                <w:szCs w:val="18"/>
              </w:rPr>
              <w:t>+F2</w:t>
            </w:r>
            <w:r>
              <w:rPr>
                <w:rFonts w:hint="eastAsia" w:ascii="Times New Roman" w:hAnsi="Times New Roman" w:eastAsia="仿宋" w:cs="Times New Roman"/>
                <w:color w:val="000000"/>
                <w:kern w:val="0"/>
                <w:sz w:val="18"/>
                <w:szCs w:val="18"/>
              </w:rPr>
              <w:t>3</w:t>
            </w:r>
            <w:r>
              <w:rPr>
                <w:rFonts w:ascii="Times New Roman" w:hAnsi="Times New Roman" w:eastAsia="仿宋" w:cs="Times New Roman"/>
                <w:color w:val="000000"/>
                <w:kern w:val="0"/>
                <w:sz w:val="18"/>
                <w:szCs w:val="18"/>
              </w:rPr>
              <w:t>+F3</w:t>
            </w:r>
            <w:r>
              <w:rPr>
                <w:rFonts w:hint="eastAsia" w:ascii="Times New Roman" w:hAnsi="Times New Roman" w:eastAsia="仿宋" w:cs="Times New Roman"/>
                <w:color w:val="000000"/>
                <w:kern w:val="0"/>
                <w:sz w:val="18"/>
                <w:szCs w:val="18"/>
              </w:rPr>
              <w:t>3</w:t>
            </w:r>
          </w:p>
        </w:tc>
        <w:tc>
          <w:tcPr>
            <w:tcW w:w="98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等线" w:cs="Times New Roman"/>
                <w:color w:val="000000"/>
                <w:szCs w:val="21"/>
              </w:rPr>
            </w:pPr>
          </w:p>
        </w:tc>
      </w:tr>
      <w:tr>
        <w:trPr>
          <w:trHeight w:val="454"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Cs w:val="21"/>
              </w:rPr>
            </w:pPr>
            <w:r>
              <w:rPr>
                <w:rFonts w:hint="eastAsia" w:ascii="Times New Roman" w:hAnsi="Times New Roman" w:cs="Times New Roman"/>
                <w:color w:val="000000"/>
                <w:szCs w:val="21"/>
              </w:rPr>
              <w:t>…</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Cs w:val="21"/>
              </w:rPr>
            </w:pPr>
          </w:p>
        </w:tc>
        <w:tc>
          <w:tcPr>
            <w:tcW w:w="7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w:t>
            </w:r>
          </w:p>
        </w:tc>
        <w:tc>
          <w:tcPr>
            <w:tcW w:w="701"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w:t>
            </w:r>
          </w:p>
        </w:tc>
        <w:tc>
          <w:tcPr>
            <w:tcW w:w="703" w:type="dxa"/>
            <w:gridSpan w:val="2"/>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w:t>
            </w:r>
          </w:p>
        </w:tc>
        <w:tc>
          <w:tcPr>
            <w:tcW w:w="70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w:t>
            </w:r>
          </w:p>
        </w:tc>
        <w:tc>
          <w:tcPr>
            <w:tcW w:w="703"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w:t>
            </w:r>
          </w:p>
        </w:tc>
        <w:tc>
          <w:tcPr>
            <w:tcW w:w="70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w:t>
            </w:r>
          </w:p>
        </w:tc>
        <w:tc>
          <w:tcPr>
            <w:tcW w:w="708" w:type="dxa"/>
            <w:tcBorders>
              <w:top w:val="nil"/>
              <w:left w:val="nil"/>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w:t>
            </w:r>
          </w:p>
        </w:tc>
        <w:tc>
          <w:tcPr>
            <w:tcW w:w="704" w:type="dxa"/>
            <w:tcBorders>
              <w:top w:val="nil"/>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w:t>
            </w:r>
          </w:p>
        </w:tc>
        <w:tc>
          <w:tcPr>
            <w:tcW w:w="703" w:type="dxa"/>
            <w:tcBorders>
              <w:top w:val="nil"/>
              <w:left w:val="nil"/>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w:t>
            </w:r>
          </w:p>
        </w:tc>
        <w:tc>
          <w:tcPr>
            <w:tcW w:w="704" w:type="dxa"/>
            <w:tcBorders>
              <w:top w:val="nil"/>
              <w:left w:val="nil"/>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w:t>
            </w:r>
          </w:p>
        </w:tc>
        <w:tc>
          <w:tcPr>
            <w:tcW w:w="704" w:type="dxa"/>
            <w:tcBorders>
              <w:top w:val="nil"/>
              <w:left w:val="nil"/>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w:t>
            </w:r>
          </w:p>
        </w:tc>
        <w:tc>
          <w:tcPr>
            <w:tcW w:w="704" w:type="dxa"/>
            <w:tcBorders>
              <w:top w:val="nil"/>
              <w:left w:val="single" w:color="auto" w:sz="4" w:space="0"/>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p>
        </w:tc>
        <w:tc>
          <w:tcPr>
            <w:tcW w:w="703" w:type="dxa"/>
            <w:gridSpan w:val="2"/>
            <w:tcBorders>
              <w:top w:val="nil"/>
              <w:left w:val="single" w:color="auto" w:sz="4" w:space="0"/>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p>
        </w:tc>
        <w:tc>
          <w:tcPr>
            <w:tcW w:w="704" w:type="dxa"/>
            <w:tcBorders>
              <w:top w:val="nil"/>
              <w:left w:val="single" w:color="auto" w:sz="4" w:space="0"/>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p>
        </w:tc>
        <w:tc>
          <w:tcPr>
            <w:tcW w:w="704" w:type="dxa"/>
            <w:tcBorders>
              <w:top w:val="nil"/>
              <w:left w:val="single" w:color="auto" w:sz="4" w:space="0"/>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p>
        </w:tc>
        <w:tc>
          <w:tcPr>
            <w:tcW w:w="984" w:type="dxa"/>
            <w:tcBorders>
              <w:top w:val="nil"/>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p>
        </w:tc>
        <w:tc>
          <w:tcPr>
            <w:tcW w:w="98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等线" w:cs="Times New Roman"/>
                <w:color w:val="000000"/>
                <w:szCs w:val="21"/>
              </w:rPr>
            </w:pPr>
          </w:p>
        </w:tc>
      </w:tr>
      <w:tr>
        <w:tblPrEx>
          <w:tblCellMar>
            <w:top w:w="0" w:type="dxa"/>
            <w:left w:w="108" w:type="dxa"/>
            <w:bottom w:w="0" w:type="dxa"/>
            <w:right w:w="108" w:type="dxa"/>
          </w:tblCellMar>
        </w:tblPrEx>
        <w:trPr>
          <w:trHeight w:val="454" w:hRule="atLeast"/>
        </w:trPr>
        <w:tc>
          <w:tcPr>
            <w:tcW w:w="154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分目标平均分</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B均</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D1均</w:t>
            </w:r>
          </w:p>
        </w:tc>
        <w:tc>
          <w:tcPr>
            <w:tcW w:w="7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F1均</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A均</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C均</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F2均</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p>
        </w:tc>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 w:val="18"/>
                <w:szCs w:val="18"/>
              </w:rPr>
            </w:pPr>
            <w:r>
              <w:rPr>
                <w:rFonts w:hint="eastAsia" w:ascii="Times New Roman" w:hAnsi="Times New Roman" w:eastAsia="仿宋" w:cs="Times New Roman"/>
                <w:color w:val="000000"/>
                <w:kern w:val="0"/>
                <w:sz w:val="18"/>
                <w:szCs w:val="18"/>
              </w:rPr>
              <w:t>D2均</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F3均</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A均</w:t>
            </w:r>
          </w:p>
        </w:tc>
        <w:tc>
          <w:tcPr>
            <w:tcW w:w="70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B均</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C均</w:t>
            </w:r>
          </w:p>
        </w:tc>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D均</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F均</w:t>
            </w:r>
          </w:p>
        </w:tc>
        <w:tc>
          <w:tcPr>
            <w:tcW w:w="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Z均</w:t>
            </w:r>
          </w:p>
        </w:tc>
      </w:tr>
      <w:tr>
        <w:tblPrEx>
          <w:tblCellMar>
            <w:top w:w="0" w:type="dxa"/>
            <w:left w:w="108" w:type="dxa"/>
            <w:bottom w:w="0" w:type="dxa"/>
            <w:right w:w="108" w:type="dxa"/>
          </w:tblCellMar>
        </w:tblPrEx>
        <w:trPr>
          <w:trHeight w:val="454" w:hRule="atLeast"/>
        </w:trPr>
        <w:tc>
          <w:tcPr>
            <w:tcW w:w="1541" w:type="dxa"/>
            <w:gridSpan w:val="2"/>
            <w:tcBorders>
              <w:top w:val="single" w:color="auto" w:sz="4" w:space="0"/>
              <w:left w:val="single" w:color="auto" w:sz="4" w:space="0"/>
              <w:bottom w:val="single" w:color="000000" w:sz="8" w:space="0"/>
              <w:right w:val="single" w:color="000000"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课程分目</w:t>
            </w:r>
          </w:p>
          <w:p>
            <w:pPr>
              <w:widowControl/>
              <w:jc w:val="center"/>
              <w:textAlignment w:val="center"/>
              <w:rPr>
                <w:rFonts w:ascii="Times New Roman" w:hAnsi="Times New Roman" w:cs="Times New Roman"/>
                <w:color w:val="000000"/>
                <w:szCs w:val="21"/>
              </w:rPr>
            </w:pPr>
            <w:r>
              <w:rPr>
                <w:rFonts w:hint="eastAsia" w:ascii="Times New Roman" w:hAnsi="Times New Roman" w:eastAsia="仿宋" w:cs="Times New Roman"/>
                <w:color w:val="000000"/>
                <w:kern w:val="0"/>
                <w:szCs w:val="21"/>
              </w:rPr>
              <w:t>标达成度</w:t>
            </w:r>
          </w:p>
        </w:tc>
        <w:tc>
          <w:tcPr>
            <w:tcW w:w="2812" w:type="dxa"/>
            <w:gridSpan w:val="5"/>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G1=</w:t>
            </w:r>
          </w:p>
          <w:p>
            <w:pPr>
              <w:widowControl/>
              <w:jc w:val="center"/>
              <w:textAlignment w:val="center"/>
              <w:rPr>
                <w:rFonts w:ascii="Times New Roman" w:hAnsi="Times New Roman" w:eastAsia="等线" w:cs="Times New Roman"/>
                <w:color w:val="000000"/>
                <w:sz w:val="18"/>
                <w:szCs w:val="18"/>
              </w:rPr>
            </w:pPr>
            <w:r>
              <w:rPr>
                <w:rFonts w:hint="eastAsia" w:ascii="Times New Roman" w:hAnsi="Times New Roman" w:eastAsia="等线" w:cs="Times New Roman"/>
                <w:color w:val="000000"/>
                <w:sz w:val="18"/>
                <w:szCs w:val="18"/>
              </w:rPr>
              <w:t>（B均*0.4+D1均*0.4+F1均*0.6）/(B*0.4+D1*0.4+F1*0.6)</w:t>
            </w:r>
          </w:p>
        </w:tc>
        <w:tc>
          <w:tcPr>
            <w:tcW w:w="2819" w:type="dxa"/>
            <w:gridSpan w:val="4"/>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 xml:space="preserve">G2= </w:t>
            </w:r>
          </w:p>
          <w:p>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(A均*0.4+ C均*0.4+F2均*0.6)/(A*0.4+C*0.4+F2*0.6)</w:t>
            </w:r>
          </w:p>
        </w:tc>
        <w:tc>
          <w:tcPr>
            <w:tcW w:w="2111" w:type="dxa"/>
            <w:gridSpan w:val="3"/>
            <w:tcBorders>
              <w:top w:val="single" w:color="auto" w:sz="4" w:space="0"/>
              <w:left w:val="nil"/>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G3=</w:t>
            </w:r>
          </w:p>
          <w:p>
            <w:pPr>
              <w:widowControl/>
              <w:jc w:val="center"/>
              <w:textAlignment w:val="center"/>
              <w:rPr>
                <w:rFonts w:ascii="Times New Roman" w:hAnsi="Times New Roman" w:eastAsia="等线" w:cs="Times New Roman"/>
                <w:color w:val="000000"/>
                <w:szCs w:val="21"/>
              </w:rPr>
            </w:pPr>
            <w:r>
              <w:rPr>
                <w:rFonts w:hint="eastAsia"/>
              </w:rPr>
              <w:t xml:space="preserve"> (</w:t>
            </w:r>
            <w:r>
              <w:rPr>
                <w:rFonts w:hint="eastAsia" w:ascii="Times New Roman" w:hAnsi="Times New Roman" w:eastAsia="等线" w:cs="Times New Roman"/>
                <w:color w:val="000000"/>
                <w:szCs w:val="21"/>
              </w:rPr>
              <w:t>D2均*0.4+F3均*0.6)/(</w:t>
            </w:r>
            <w:r>
              <w:rPr>
                <w:rFonts w:ascii="Times New Roman" w:hAnsi="Times New Roman" w:eastAsia="等线" w:cs="Times New Roman"/>
                <w:color w:val="000000"/>
                <w:szCs w:val="21"/>
              </w:rPr>
              <w:t>D2</w:t>
            </w:r>
            <w:r>
              <w:rPr>
                <w:rFonts w:hint="eastAsia" w:ascii="Times New Roman" w:hAnsi="Times New Roman" w:eastAsia="等线" w:cs="Times New Roman"/>
                <w:color w:val="000000"/>
                <w:szCs w:val="21"/>
              </w:rPr>
              <w:t>*0.4+</w:t>
            </w:r>
            <w:r>
              <w:rPr>
                <w:rFonts w:ascii="Times New Roman" w:hAnsi="Times New Roman" w:eastAsia="等线" w:cs="Times New Roman"/>
                <w:color w:val="000000"/>
                <w:szCs w:val="21"/>
              </w:rPr>
              <w:t>F3</w:t>
            </w:r>
            <w:r>
              <w:rPr>
                <w:rFonts w:hint="eastAsia" w:ascii="Times New Roman" w:hAnsi="Times New Roman" w:eastAsia="等线" w:cs="Times New Roman"/>
                <w:color w:val="000000"/>
                <w:szCs w:val="21"/>
              </w:rPr>
              <w:t>*0.6)</w:t>
            </w:r>
          </w:p>
        </w:tc>
        <w:tc>
          <w:tcPr>
            <w:tcW w:w="704" w:type="dxa"/>
            <w:tcBorders>
              <w:top w:val="single" w:color="auto" w:sz="4" w:space="0"/>
              <w:left w:val="single" w:color="auto" w:sz="4" w:space="0"/>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等线" w:cs="Times New Roman"/>
                <w:color w:val="000000"/>
                <w:szCs w:val="21"/>
              </w:rPr>
            </w:pPr>
          </w:p>
        </w:tc>
        <w:tc>
          <w:tcPr>
            <w:tcW w:w="703" w:type="dxa"/>
            <w:gridSpan w:val="2"/>
            <w:tcBorders>
              <w:top w:val="single" w:color="auto" w:sz="4" w:space="0"/>
              <w:left w:val="single" w:color="auto" w:sz="4" w:space="0"/>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等线" w:cs="Times New Roman"/>
                <w:color w:val="000000"/>
                <w:szCs w:val="21"/>
              </w:rPr>
            </w:pPr>
          </w:p>
        </w:tc>
        <w:tc>
          <w:tcPr>
            <w:tcW w:w="704" w:type="dxa"/>
            <w:tcBorders>
              <w:top w:val="single" w:color="auto" w:sz="4" w:space="0"/>
              <w:left w:val="single" w:color="auto" w:sz="4" w:space="0"/>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等线" w:cs="Times New Roman"/>
                <w:color w:val="000000"/>
                <w:szCs w:val="21"/>
              </w:rPr>
            </w:pPr>
          </w:p>
        </w:tc>
        <w:tc>
          <w:tcPr>
            <w:tcW w:w="704" w:type="dxa"/>
            <w:tcBorders>
              <w:top w:val="single" w:color="auto" w:sz="4" w:space="0"/>
              <w:left w:val="single" w:color="auto" w:sz="4" w:space="0"/>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等线" w:cs="Times New Roman"/>
                <w:color w:val="000000"/>
                <w:szCs w:val="21"/>
              </w:rPr>
            </w:pPr>
          </w:p>
        </w:tc>
        <w:tc>
          <w:tcPr>
            <w:tcW w:w="984" w:type="dxa"/>
            <w:tcBorders>
              <w:top w:val="single" w:color="auto" w:sz="4" w:space="0"/>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等线" w:cs="Times New Roman"/>
                <w:color w:val="000000"/>
                <w:szCs w:val="21"/>
              </w:rPr>
            </w:pPr>
          </w:p>
        </w:tc>
        <w:tc>
          <w:tcPr>
            <w:tcW w:w="984" w:type="dxa"/>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等线" w:cs="Times New Roman"/>
                <w:color w:val="000000"/>
                <w:szCs w:val="21"/>
              </w:rPr>
            </w:pPr>
          </w:p>
        </w:tc>
      </w:tr>
      <w:tr>
        <w:tblPrEx>
          <w:tblCellMar>
            <w:top w:w="0" w:type="dxa"/>
            <w:left w:w="108" w:type="dxa"/>
            <w:bottom w:w="0" w:type="dxa"/>
            <w:right w:w="108" w:type="dxa"/>
          </w:tblCellMar>
        </w:tblPrEx>
        <w:trPr>
          <w:trHeight w:val="454" w:hRule="atLeast"/>
        </w:trPr>
        <w:tc>
          <w:tcPr>
            <w:tcW w:w="9283" w:type="dxa"/>
            <w:gridSpan w:val="14"/>
            <w:tcBorders>
              <w:top w:val="nil"/>
              <w:left w:val="single" w:color="auto" w:sz="4" w:space="0"/>
              <w:bottom w:val="single" w:color="000000" w:sz="8" w:space="0"/>
              <w:right w:val="single" w:color="auto" w:sz="4" w:space="0"/>
            </w:tcBorders>
            <w:shd w:val="clear" w:color="auto" w:fill="auto"/>
            <w:vAlign w:val="center"/>
          </w:tcPr>
          <w:p>
            <w:pPr>
              <w:widowControl/>
              <w:jc w:val="center"/>
              <w:textAlignment w:val="center"/>
              <w:rPr>
                <w:rFonts w:ascii="Times New Roman" w:hAnsi="Times New Roman" w:eastAsia="仿宋" w:cs="Times New Roman"/>
                <w:color w:val="000000"/>
                <w:kern w:val="0"/>
                <w:szCs w:val="21"/>
              </w:rPr>
            </w:pPr>
            <w:r>
              <w:rPr>
                <w:rFonts w:hint="eastAsia" w:ascii="Times New Roman" w:hAnsi="Times New Roman" w:eastAsia="仿宋" w:cs="Times New Roman"/>
                <w:color w:val="000000"/>
                <w:kern w:val="0"/>
                <w:szCs w:val="21"/>
              </w:rPr>
              <w:t>课程总目标达成度</w:t>
            </w:r>
          </w:p>
        </w:tc>
        <w:tc>
          <w:tcPr>
            <w:tcW w:w="3799" w:type="dxa"/>
            <w:gridSpan w:val="6"/>
            <w:tcBorders>
              <w:top w:val="nil"/>
              <w:left w:val="single" w:color="auto" w:sz="4" w:space="0"/>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[（A均+B均+C均+D均）*0.4+F均*0.6]/[（A+B+C+D）*0.4+F*0.6]</w:t>
            </w:r>
          </w:p>
        </w:tc>
        <w:tc>
          <w:tcPr>
            <w:tcW w:w="984"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Times New Roman" w:hAnsi="Times New Roman" w:eastAsia="等线" w:cs="Times New Roman"/>
                <w:color w:val="000000"/>
                <w:szCs w:val="21"/>
              </w:rPr>
            </w:pPr>
            <w:r>
              <w:rPr>
                <w:rFonts w:hint="eastAsia" w:ascii="Times New Roman" w:hAnsi="Times New Roman" w:eastAsia="等线" w:cs="Times New Roman"/>
                <w:color w:val="000000"/>
                <w:szCs w:val="21"/>
              </w:rPr>
              <w:t>Z均/100</w:t>
            </w:r>
          </w:p>
        </w:tc>
      </w:tr>
    </w:tbl>
    <w:p>
      <w:pPr>
        <w:spacing w:line="576" w:lineRule="exact"/>
        <w:jc w:val="center"/>
        <w:sectPr>
          <w:pgSz w:w="16838" w:h="11906" w:orient="landscape"/>
          <w:pgMar w:top="1440" w:right="1440" w:bottom="1440" w:left="1440" w:header="851" w:footer="992" w:gutter="0"/>
          <w:cols w:space="425"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altName w:val="宋体"/>
    <w:panose1 w:val="00000000000000000000"/>
    <w:charset w:val="86"/>
    <w:family w:val="roman"/>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ZjkyNTM3MzNjMjg3ZjE2YTg5Y2FiODJmZGFkM2EifQ=="/>
  </w:docVars>
  <w:rsids>
    <w:rsidRoot w:val="7CF363EC"/>
    <w:rsid w:val="7CF36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table" w:styleId="4">
    <w:name w:val="Table Grid"/>
    <w:basedOn w:val="3"/>
    <w:unhideWhenUsed/>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2023-11-13T08:34:00Z</dcterms:created>
  <dc:creator>Administrator</dc:creator>
  <cp:lastModifiedBy>Administrator</cp:lastModifiedBy>
  <dcterms:modified xsi:type="dcterms:W3CDTF">2023-11-13T08:35:05Z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867A80014FB841A7AA613FB805D93DD1_11</vt:lpwstr>
  </property>
</Properties>
</file>