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380" w:lineRule="exact"/>
        <w:jc w:val="center"/>
        <w:rPr>
          <w:rFonts w:hint="eastAsia" w:asciiTheme="majorEastAsia" w:hAnsiTheme="majorEastAsia" w:eastAsiaTheme="majorEastAsia" w:cstheme="majorEastAsia"/>
          <w:b/>
          <w:bCs/>
          <w:i w:val="0"/>
          <w:caps w:val="0"/>
          <w:color w:val="auto"/>
          <w:spacing w:val="0"/>
          <w:sz w:val="36"/>
          <w:szCs w:val="36"/>
          <w:shd w:val="clear" w:color="auto" w:fill="FFFFFF"/>
          <w:lang w:val="en-US" w:eastAsia="zh-CN"/>
        </w:rPr>
      </w:pPr>
      <w:bookmarkStart w:id="0" w:name="_GoBack"/>
      <w:r>
        <w:rPr>
          <w:rFonts w:hint="eastAsia" w:asciiTheme="majorEastAsia" w:hAnsiTheme="majorEastAsia" w:eastAsiaTheme="majorEastAsia" w:cstheme="majorEastAsia"/>
          <w:b/>
          <w:bCs/>
          <w:i w:val="0"/>
          <w:caps w:val="0"/>
          <w:color w:val="auto"/>
          <w:spacing w:val="0"/>
          <w:sz w:val="36"/>
          <w:szCs w:val="36"/>
          <w:shd w:val="clear" w:color="auto" w:fill="FFFFFF"/>
          <w:lang w:val="en-US" w:eastAsia="zh-CN"/>
        </w:rPr>
        <w:t>河南省教育科学“十三五”规划2020年度一般课题拟推荐名单</w:t>
      </w:r>
    </w:p>
    <w:bookmarkEnd w:id="0"/>
    <w:p>
      <w:pPr>
        <w:widowControl/>
        <w:spacing w:line="380" w:lineRule="exact"/>
        <w:jc w:val="left"/>
        <w:rPr>
          <w:rFonts w:hint="default" w:ascii="仿宋_GB2312" w:hAnsi="仿宋_GB2312" w:eastAsia="仿宋_GB2312" w:cs="仿宋_GB2312"/>
          <w:b/>
          <w:bCs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</w:pPr>
    </w:p>
    <w:p>
      <w:pPr>
        <w:widowControl/>
        <w:spacing w:line="380" w:lineRule="exact"/>
        <w:ind w:firstLine="280" w:firstLineChars="100"/>
        <w:jc w:val="left"/>
        <w:rPr>
          <w:rFonts w:hint="default" w:ascii="仿宋_GB2312" w:hAnsi="仿宋_GB2312" w:eastAsia="仿宋_GB2312" w:cs="仿宋_GB2312"/>
          <w:i w:val="0"/>
          <w:caps w:val="0"/>
          <w:color w:val="auto"/>
          <w:spacing w:val="0"/>
          <w:sz w:val="28"/>
          <w:szCs w:val="28"/>
          <w:shd w:val="clear" w:color="auto" w:fill="FFFFFF"/>
          <w:lang w:val="en-US" w:eastAsia="zh-CN"/>
        </w:rPr>
      </w:pPr>
      <w:r>
        <w:rPr>
          <w:rFonts w:hint="default" w:ascii="仿宋_GB2312" w:hAnsi="仿宋_GB2312" w:eastAsia="仿宋_GB2312" w:cs="仿宋_GB2312"/>
          <w:i w:val="0"/>
          <w:caps w:val="0"/>
          <w:color w:val="auto"/>
          <w:spacing w:val="0"/>
          <w:sz w:val="28"/>
          <w:szCs w:val="28"/>
          <w:shd w:val="clear" w:color="auto" w:fill="FFFFFF"/>
          <w:lang w:val="en-US" w:eastAsia="zh-CN"/>
        </w:rPr>
        <w:t xml:space="preserve">单位： 安阳幼儿师范高等专科学校    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sz w:val="28"/>
          <w:szCs w:val="28"/>
          <w:shd w:val="clear" w:color="auto" w:fill="FFFFFF"/>
          <w:lang w:val="en-US" w:eastAsia="zh-CN"/>
        </w:rPr>
        <w:t xml:space="preserve">           </w:t>
      </w:r>
      <w:r>
        <w:rPr>
          <w:rFonts w:hint="default" w:ascii="仿宋_GB2312" w:hAnsi="仿宋_GB2312" w:eastAsia="仿宋_GB2312" w:cs="仿宋_GB2312"/>
          <w:i w:val="0"/>
          <w:caps w:val="0"/>
          <w:color w:val="auto"/>
          <w:spacing w:val="0"/>
          <w:sz w:val="28"/>
          <w:szCs w:val="28"/>
          <w:shd w:val="clear" w:color="auto" w:fill="FFFFFF"/>
          <w:lang w:val="en-US" w:eastAsia="zh-CN"/>
        </w:rPr>
        <w:t xml:space="preserve">      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sz w:val="28"/>
          <w:szCs w:val="28"/>
          <w:shd w:val="clear" w:color="auto" w:fill="FFFFFF"/>
          <w:lang w:val="en-US" w:eastAsia="zh-CN"/>
        </w:rPr>
        <w:t xml:space="preserve">                 </w:t>
      </w:r>
      <w:r>
        <w:rPr>
          <w:rFonts w:hint="default" w:ascii="仿宋_GB2312" w:hAnsi="仿宋_GB2312" w:eastAsia="仿宋_GB2312" w:cs="仿宋_GB2312"/>
          <w:i w:val="0"/>
          <w:caps w:val="0"/>
          <w:color w:val="auto"/>
          <w:spacing w:val="0"/>
          <w:sz w:val="28"/>
          <w:szCs w:val="28"/>
          <w:shd w:val="clear" w:color="auto" w:fill="FFFFFF"/>
          <w:lang w:val="en-US" w:eastAsia="zh-CN"/>
        </w:rPr>
        <w:t xml:space="preserve">  2020年 04月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sz w:val="28"/>
          <w:szCs w:val="28"/>
          <w:shd w:val="clear" w:color="auto" w:fill="FFFFFF"/>
          <w:lang w:val="en-US" w:eastAsia="zh-CN"/>
        </w:rPr>
        <w:t>20</w:t>
      </w:r>
      <w:r>
        <w:rPr>
          <w:rFonts w:hint="default" w:ascii="仿宋_GB2312" w:hAnsi="仿宋_GB2312" w:eastAsia="仿宋_GB2312" w:cs="仿宋_GB2312"/>
          <w:i w:val="0"/>
          <w:caps w:val="0"/>
          <w:color w:val="auto"/>
          <w:spacing w:val="0"/>
          <w:sz w:val="28"/>
          <w:szCs w:val="28"/>
          <w:shd w:val="clear" w:color="auto" w:fill="FFFFFF"/>
          <w:lang w:val="en-US" w:eastAsia="zh-CN"/>
        </w:rPr>
        <w:t>日</w:t>
      </w:r>
    </w:p>
    <w:tbl>
      <w:tblPr>
        <w:tblStyle w:val="2"/>
        <w:tblpPr w:leftFromText="180" w:rightFromText="180" w:vertAnchor="text" w:horzAnchor="page" w:tblpX="1896" w:tblpY="223"/>
        <w:tblOverlap w:val="never"/>
        <w:tblW w:w="13318" w:type="dxa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4"/>
        <w:gridCol w:w="7896"/>
        <w:gridCol w:w="2124"/>
        <w:gridCol w:w="2624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4" w:hRule="atLeast"/>
        </w:trPr>
        <w:tc>
          <w:tcPr>
            <w:tcW w:w="674" w:type="dxa"/>
            <w:tcBorders>
              <w:top w:val="single" w:color="auto" w:sz="8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rPr>
                <w:rFonts w:ascii="黑体" w:eastAsia="黑体"/>
                <w:sz w:val="24"/>
                <w:szCs w:val="21"/>
              </w:rPr>
            </w:pPr>
            <w:r>
              <w:rPr>
                <w:rFonts w:hint="eastAsia" w:ascii="黑体" w:eastAsia="黑体" w:cs="仿宋_GB2312"/>
                <w:sz w:val="24"/>
                <w:szCs w:val="21"/>
              </w:rPr>
              <w:t>序号</w:t>
            </w:r>
          </w:p>
        </w:tc>
        <w:tc>
          <w:tcPr>
            <w:tcW w:w="7896" w:type="dxa"/>
            <w:tcBorders>
              <w:top w:val="single" w:color="auto" w:sz="8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rPr>
                <w:rFonts w:ascii="黑体" w:eastAsia="黑体"/>
                <w:sz w:val="24"/>
                <w:szCs w:val="21"/>
              </w:rPr>
            </w:pPr>
            <w:r>
              <w:rPr>
                <w:rFonts w:hint="eastAsia" w:ascii="黑体" w:eastAsia="黑体" w:cs="仿宋_GB2312"/>
                <w:sz w:val="24"/>
                <w:szCs w:val="21"/>
              </w:rPr>
              <w:t>申报课题名称</w:t>
            </w:r>
          </w:p>
        </w:tc>
        <w:tc>
          <w:tcPr>
            <w:tcW w:w="2124" w:type="dxa"/>
            <w:tcBorders>
              <w:top w:val="single" w:color="auto" w:sz="8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rPr>
                <w:rFonts w:ascii="黑体" w:eastAsia="黑体"/>
                <w:sz w:val="24"/>
                <w:szCs w:val="21"/>
              </w:rPr>
            </w:pPr>
            <w:r>
              <w:rPr>
                <w:rFonts w:hint="eastAsia" w:ascii="黑体" w:eastAsia="黑体" w:cs="仿宋_GB2312"/>
                <w:sz w:val="24"/>
                <w:szCs w:val="21"/>
              </w:rPr>
              <w:t>申报人</w:t>
            </w:r>
          </w:p>
        </w:tc>
        <w:tc>
          <w:tcPr>
            <w:tcW w:w="2624" w:type="dxa"/>
            <w:tcBorders>
              <w:top w:val="single" w:color="auto" w:sz="8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>
            <w:pPr>
              <w:snapToGrid w:val="0"/>
              <w:jc w:val="center"/>
              <w:rPr>
                <w:rFonts w:ascii="黑体" w:eastAsia="黑体"/>
                <w:sz w:val="24"/>
                <w:szCs w:val="21"/>
              </w:rPr>
            </w:pPr>
            <w:r>
              <w:rPr>
                <w:rFonts w:hint="eastAsia" w:ascii="黑体" w:eastAsia="黑体" w:cs="仿宋_GB2312"/>
                <w:sz w:val="24"/>
                <w:szCs w:val="21"/>
              </w:rPr>
              <w:t>完成时间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0" w:hRule="atLeast"/>
        </w:trPr>
        <w:tc>
          <w:tcPr>
            <w:tcW w:w="674" w:type="dxa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789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left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学前儿童家园共育中德育的养成教育研究与实践</w:t>
            </w:r>
          </w:p>
        </w:tc>
        <w:tc>
          <w:tcPr>
            <w:tcW w:w="212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岳素萍</w:t>
            </w:r>
          </w:p>
        </w:tc>
        <w:tc>
          <w:tcPr>
            <w:tcW w:w="262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>
            <w:pPr>
              <w:snapToGrid w:val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2021.04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3" w:hRule="atLeast"/>
        </w:trPr>
        <w:tc>
          <w:tcPr>
            <w:tcW w:w="674" w:type="dxa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 w:bidi="ar-SA"/>
              </w:rPr>
              <w:t>2</w:t>
            </w:r>
          </w:p>
        </w:tc>
        <w:tc>
          <w:tcPr>
            <w:tcW w:w="789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left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4"/>
                <w:szCs w:val="24"/>
              </w:rPr>
              <w:t>疫情影响下高职学生在线学习投入的影响因素及策略研究</w:t>
            </w:r>
          </w:p>
        </w:tc>
        <w:tc>
          <w:tcPr>
            <w:tcW w:w="212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赵光伟</w:t>
            </w:r>
          </w:p>
        </w:tc>
        <w:tc>
          <w:tcPr>
            <w:tcW w:w="262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>
            <w:pPr>
              <w:snapToGrid w:val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2021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.0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6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atLeast"/>
        </w:trPr>
        <w:tc>
          <w:tcPr>
            <w:tcW w:w="674" w:type="dxa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 w:bidi="ar-SA"/>
              </w:rPr>
              <w:t>3</w:t>
            </w:r>
          </w:p>
        </w:tc>
        <w:tc>
          <w:tcPr>
            <w:tcW w:w="789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left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u w:val="none"/>
                <w:lang w:eastAsia="zh-CN"/>
              </w:rPr>
              <w:t>深度学习视野中的区域活动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u w:val="none"/>
                <w:lang w:val="en-US" w:eastAsia="zh-CN"/>
              </w:rPr>
              <w:t>研究</w:t>
            </w:r>
          </w:p>
        </w:tc>
        <w:tc>
          <w:tcPr>
            <w:tcW w:w="212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王现军</w:t>
            </w:r>
          </w:p>
        </w:tc>
        <w:tc>
          <w:tcPr>
            <w:tcW w:w="262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>
            <w:pPr>
              <w:snapToGrid w:val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2021.06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674" w:type="dxa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 w:bidi="ar-SA"/>
              </w:rPr>
              <w:t>4</w:t>
            </w:r>
          </w:p>
        </w:tc>
        <w:tc>
          <w:tcPr>
            <w:tcW w:w="789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left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师范类专业认证理念下高职高专课堂教学评价体系的构建—以A校为例</w:t>
            </w:r>
          </w:p>
        </w:tc>
        <w:tc>
          <w:tcPr>
            <w:tcW w:w="212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张瑞平</w:t>
            </w:r>
          </w:p>
        </w:tc>
        <w:tc>
          <w:tcPr>
            <w:tcW w:w="262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>
            <w:pPr>
              <w:snapToGrid w:val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2021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.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4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atLeast"/>
        </w:trPr>
        <w:tc>
          <w:tcPr>
            <w:tcW w:w="674" w:type="dxa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789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left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基于学前教育专业特殊需求的舞蹈课程构建与实践</w:t>
            </w:r>
          </w:p>
        </w:tc>
        <w:tc>
          <w:tcPr>
            <w:tcW w:w="212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刘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芳</w:t>
            </w:r>
          </w:p>
        </w:tc>
        <w:tc>
          <w:tcPr>
            <w:tcW w:w="262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>
            <w:pPr>
              <w:snapToGrid w:val="0"/>
              <w:ind w:left="240" w:leftChars="0" w:hanging="240" w:hangingChars="10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2021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.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04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0" w:hRule="atLeast"/>
        </w:trPr>
        <w:tc>
          <w:tcPr>
            <w:tcW w:w="674" w:type="dxa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6</w:t>
            </w:r>
          </w:p>
        </w:tc>
        <w:tc>
          <w:tcPr>
            <w:tcW w:w="789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left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生命安全教育背景下幼儿园健康课程研究</w:t>
            </w:r>
          </w:p>
        </w:tc>
        <w:tc>
          <w:tcPr>
            <w:tcW w:w="212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付志宇</w:t>
            </w:r>
          </w:p>
        </w:tc>
        <w:tc>
          <w:tcPr>
            <w:tcW w:w="262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>
            <w:pPr>
              <w:snapToGrid w:val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2021.06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0" w:hRule="atLeast"/>
        </w:trPr>
        <w:tc>
          <w:tcPr>
            <w:tcW w:w="674" w:type="dxa"/>
            <w:tcBorders>
              <w:top w:val="single" w:color="auto" w:sz="6" w:space="0"/>
              <w:left w:val="single" w:color="auto" w:sz="8" w:space="0"/>
              <w:bottom w:val="single" w:color="auto" w:sz="8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7</w:t>
            </w:r>
          </w:p>
        </w:tc>
        <w:tc>
          <w:tcPr>
            <w:tcW w:w="7896" w:type="dxa"/>
            <w:tcBorders>
              <w:top w:val="single" w:color="auto" w:sz="6" w:space="0"/>
              <w:left w:val="single" w:color="auto" w:sz="6" w:space="0"/>
              <w:bottom w:val="single" w:color="auto" w:sz="8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both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手指游戏在学前教育专业钢琴教学中的实验研究——以安阳幼专为例</w:t>
            </w:r>
          </w:p>
        </w:tc>
        <w:tc>
          <w:tcPr>
            <w:tcW w:w="2124" w:type="dxa"/>
            <w:tcBorders>
              <w:top w:val="single" w:color="auto" w:sz="6" w:space="0"/>
              <w:left w:val="single" w:color="auto" w:sz="6" w:space="0"/>
              <w:bottom w:val="single" w:color="auto" w:sz="8" w:space="0"/>
              <w:right w:val="single" w:color="auto" w:sz="6" w:space="0"/>
            </w:tcBorders>
            <w:vAlign w:val="center"/>
          </w:tcPr>
          <w:p>
            <w:pPr>
              <w:snapToGrid w:val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刘靖波</w:t>
            </w:r>
          </w:p>
        </w:tc>
        <w:tc>
          <w:tcPr>
            <w:tcW w:w="2624" w:type="dxa"/>
            <w:tcBorders>
              <w:top w:val="single" w:color="auto" w:sz="6" w:space="0"/>
              <w:left w:val="single" w:color="auto" w:sz="6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napToGrid w:val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2021.04</w:t>
            </w: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165321F"/>
    <w:rsid w:val="116532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宋体" w:hAnsi="楷体" w:eastAsia="宋体" w:cs="楷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Office_11.1.0.9678_F1E327BC-269C-435d-A152-05C5408002CA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2020-05-23T07:21:00Z</dcterms:created>
  <dc:creator>如果云知道</dc:creator>
  <cp:lastModifiedBy>如果云知道</cp:lastModifiedBy>
  <dcterms:modified xsi:type="dcterms:W3CDTF">2020-05-23T07:23:01Z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2052-11.1.0.9678</vt:lpwstr>
  </property>
</Properties>
</file>