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8B7A17">
      <w:pP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附件3：</w:t>
      </w:r>
    </w:p>
    <w:p w14:paraId="2B2D3278">
      <w:pPr>
        <w:jc w:val="center"/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-SA"/>
        </w:rPr>
        <w:t>河南省属地厅级社科研究项目统计表</w:t>
      </w:r>
    </w:p>
    <w:bookmarkEnd w:id="0"/>
    <w:p w14:paraId="266CC849">
      <w:pP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单位名称：</w:t>
      </w:r>
    </w:p>
    <w:tbl>
      <w:tblPr>
        <w:tblStyle w:val="3"/>
        <w:tblW w:w="146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221"/>
        <w:gridCol w:w="1230"/>
        <w:gridCol w:w="1275"/>
        <w:gridCol w:w="2760"/>
        <w:gridCol w:w="1275"/>
        <w:gridCol w:w="1560"/>
        <w:gridCol w:w="1200"/>
        <w:gridCol w:w="1260"/>
        <w:gridCol w:w="1230"/>
        <w:gridCol w:w="765"/>
      </w:tblGrid>
      <w:tr w14:paraId="0EF9B9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  <w:jc w:val="center"/>
        </w:trPr>
        <w:tc>
          <w:tcPr>
            <w:tcW w:w="909" w:type="dxa"/>
            <w:noWrap w:val="0"/>
            <w:vAlign w:val="center"/>
          </w:tcPr>
          <w:p w14:paraId="2CCED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21" w:type="dxa"/>
            <w:noWrap w:val="0"/>
            <w:vAlign w:val="center"/>
          </w:tcPr>
          <w:p w14:paraId="1BC11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评定单位</w:t>
            </w:r>
          </w:p>
        </w:tc>
        <w:tc>
          <w:tcPr>
            <w:tcW w:w="1230" w:type="dxa"/>
            <w:noWrap w:val="0"/>
            <w:vAlign w:val="center"/>
          </w:tcPr>
          <w:p w14:paraId="67375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项目类别</w:t>
            </w:r>
          </w:p>
        </w:tc>
        <w:tc>
          <w:tcPr>
            <w:tcW w:w="1275" w:type="dxa"/>
            <w:noWrap w:val="0"/>
            <w:vAlign w:val="center"/>
          </w:tcPr>
          <w:p w14:paraId="4C602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结项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编号</w:t>
            </w:r>
          </w:p>
        </w:tc>
        <w:tc>
          <w:tcPr>
            <w:tcW w:w="2760" w:type="dxa"/>
            <w:noWrap w:val="0"/>
            <w:vAlign w:val="center"/>
          </w:tcPr>
          <w:p w14:paraId="6C8C6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275" w:type="dxa"/>
            <w:noWrap w:val="0"/>
            <w:vAlign w:val="center"/>
          </w:tcPr>
          <w:p w14:paraId="57B2A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主持人</w:t>
            </w:r>
          </w:p>
        </w:tc>
        <w:tc>
          <w:tcPr>
            <w:tcW w:w="1560" w:type="dxa"/>
            <w:noWrap w:val="0"/>
            <w:vAlign w:val="center"/>
          </w:tcPr>
          <w:p w14:paraId="06BEC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所在单位</w:t>
            </w:r>
          </w:p>
        </w:tc>
        <w:tc>
          <w:tcPr>
            <w:tcW w:w="1200" w:type="dxa"/>
            <w:noWrap w:val="0"/>
            <w:vAlign w:val="center"/>
          </w:tcPr>
          <w:p w14:paraId="64334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立项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1260" w:type="dxa"/>
            <w:noWrap w:val="0"/>
            <w:vAlign w:val="center"/>
          </w:tcPr>
          <w:p w14:paraId="49320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结项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1230" w:type="dxa"/>
            <w:noWrap w:val="0"/>
            <w:vAlign w:val="center"/>
          </w:tcPr>
          <w:p w14:paraId="2E687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结项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等次</w:t>
            </w:r>
          </w:p>
        </w:tc>
        <w:tc>
          <w:tcPr>
            <w:tcW w:w="765" w:type="dxa"/>
            <w:noWrap w:val="0"/>
            <w:vAlign w:val="center"/>
          </w:tcPr>
          <w:p w14:paraId="5CABE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18BA55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9" w:type="dxa"/>
            <w:noWrap w:val="0"/>
            <w:vAlign w:val="top"/>
          </w:tcPr>
          <w:p w14:paraId="6529513F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21" w:type="dxa"/>
            <w:noWrap w:val="0"/>
            <w:vAlign w:val="top"/>
          </w:tcPr>
          <w:p w14:paraId="1CC3779E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230" w:type="dxa"/>
            <w:noWrap w:val="0"/>
            <w:vAlign w:val="top"/>
          </w:tcPr>
          <w:p w14:paraId="034F33FE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275" w:type="dxa"/>
            <w:noWrap w:val="0"/>
            <w:vAlign w:val="top"/>
          </w:tcPr>
          <w:p w14:paraId="27D75F34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760" w:type="dxa"/>
            <w:noWrap w:val="0"/>
            <w:vAlign w:val="top"/>
          </w:tcPr>
          <w:p w14:paraId="01861EEA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275" w:type="dxa"/>
            <w:noWrap w:val="0"/>
            <w:vAlign w:val="top"/>
          </w:tcPr>
          <w:p w14:paraId="7114CA8C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560" w:type="dxa"/>
            <w:noWrap w:val="0"/>
            <w:vAlign w:val="top"/>
          </w:tcPr>
          <w:p w14:paraId="6A11A449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200" w:type="dxa"/>
            <w:noWrap w:val="0"/>
            <w:vAlign w:val="top"/>
          </w:tcPr>
          <w:p w14:paraId="03B7B358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260" w:type="dxa"/>
            <w:noWrap w:val="0"/>
            <w:vAlign w:val="top"/>
          </w:tcPr>
          <w:p w14:paraId="6BDD0ED6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230" w:type="dxa"/>
            <w:noWrap w:val="0"/>
            <w:vAlign w:val="top"/>
          </w:tcPr>
          <w:p w14:paraId="0DA1CD09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765" w:type="dxa"/>
            <w:noWrap w:val="0"/>
            <w:vAlign w:val="top"/>
          </w:tcPr>
          <w:p w14:paraId="7A5EB075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 w14:paraId="2462D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9" w:type="dxa"/>
            <w:noWrap w:val="0"/>
            <w:vAlign w:val="top"/>
          </w:tcPr>
          <w:p w14:paraId="77B714C4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221" w:type="dxa"/>
            <w:noWrap w:val="0"/>
            <w:vAlign w:val="top"/>
          </w:tcPr>
          <w:p w14:paraId="25044B67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230" w:type="dxa"/>
            <w:noWrap w:val="0"/>
            <w:vAlign w:val="top"/>
          </w:tcPr>
          <w:p w14:paraId="2A793F05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275" w:type="dxa"/>
            <w:noWrap w:val="0"/>
            <w:vAlign w:val="top"/>
          </w:tcPr>
          <w:p w14:paraId="5AE64D0B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760" w:type="dxa"/>
            <w:noWrap w:val="0"/>
            <w:vAlign w:val="top"/>
          </w:tcPr>
          <w:p w14:paraId="7B51D1BB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275" w:type="dxa"/>
            <w:noWrap w:val="0"/>
            <w:vAlign w:val="top"/>
          </w:tcPr>
          <w:p w14:paraId="6FC65F07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560" w:type="dxa"/>
            <w:noWrap w:val="0"/>
            <w:vAlign w:val="top"/>
          </w:tcPr>
          <w:p w14:paraId="78E4C557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200" w:type="dxa"/>
            <w:noWrap w:val="0"/>
            <w:vAlign w:val="top"/>
          </w:tcPr>
          <w:p w14:paraId="6DF95BA4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260" w:type="dxa"/>
            <w:noWrap w:val="0"/>
            <w:vAlign w:val="top"/>
          </w:tcPr>
          <w:p w14:paraId="12359DE6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230" w:type="dxa"/>
            <w:noWrap w:val="0"/>
            <w:vAlign w:val="top"/>
          </w:tcPr>
          <w:p w14:paraId="61FFE770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765" w:type="dxa"/>
            <w:noWrap w:val="0"/>
            <w:vAlign w:val="top"/>
          </w:tcPr>
          <w:p w14:paraId="08E8B002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 w14:paraId="24A45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9" w:type="dxa"/>
            <w:noWrap w:val="0"/>
            <w:vAlign w:val="top"/>
          </w:tcPr>
          <w:p w14:paraId="61462A00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1221" w:type="dxa"/>
            <w:noWrap w:val="0"/>
            <w:vAlign w:val="top"/>
          </w:tcPr>
          <w:p w14:paraId="4649CBDE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230" w:type="dxa"/>
            <w:noWrap w:val="0"/>
            <w:vAlign w:val="top"/>
          </w:tcPr>
          <w:p w14:paraId="13B71483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275" w:type="dxa"/>
            <w:noWrap w:val="0"/>
            <w:vAlign w:val="top"/>
          </w:tcPr>
          <w:p w14:paraId="33FAFC1F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760" w:type="dxa"/>
            <w:noWrap w:val="0"/>
            <w:vAlign w:val="top"/>
          </w:tcPr>
          <w:p w14:paraId="1DA11A79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275" w:type="dxa"/>
            <w:noWrap w:val="0"/>
            <w:vAlign w:val="top"/>
          </w:tcPr>
          <w:p w14:paraId="7C95A305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560" w:type="dxa"/>
            <w:noWrap w:val="0"/>
            <w:vAlign w:val="top"/>
          </w:tcPr>
          <w:p w14:paraId="2B38A526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200" w:type="dxa"/>
            <w:noWrap w:val="0"/>
            <w:vAlign w:val="top"/>
          </w:tcPr>
          <w:p w14:paraId="3E330652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260" w:type="dxa"/>
            <w:noWrap w:val="0"/>
            <w:vAlign w:val="top"/>
          </w:tcPr>
          <w:p w14:paraId="177EDC89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230" w:type="dxa"/>
            <w:noWrap w:val="0"/>
            <w:vAlign w:val="top"/>
          </w:tcPr>
          <w:p w14:paraId="111ECE43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765" w:type="dxa"/>
            <w:noWrap w:val="0"/>
            <w:vAlign w:val="top"/>
          </w:tcPr>
          <w:p w14:paraId="5FC040DC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 w14:paraId="74F569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9" w:type="dxa"/>
            <w:noWrap w:val="0"/>
            <w:vAlign w:val="top"/>
          </w:tcPr>
          <w:p w14:paraId="55D1EC22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1221" w:type="dxa"/>
            <w:noWrap w:val="0"/>
            <w:vAlign w:val="top"/>
          </w:tcPr>
          <w:p w14:paraId="37AE024C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230" w:type="dxa"/>
            <w:noWrap w:val="0"/>
            <w:vAlign w:val="top"/>
          </w:tcPr>
          <w:p w14:paraId="0DDE6A60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275" w:type="dxa"/>
            <w:noWrap w:val="0"/>
            <w:vAlign w:val="top"/>
          </w:tcPr>
          <w:p w14:paraId="248DB5BC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760" w:type="dxa"/>
            <w:noWrap w:val="0"/>
            <w:vAlign w:val="top"/>
          </w:tcPr>
          <w:p w14:paraId="354E932A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275" w:type="dxa"/>
            <w:noWrap w:val="0"/>
            <w:vAlign w:val="top"/>
          </w:tcPr>
          <w:p w14:paraId="7577EDC6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560" w:type="dxa"/>
            <w:noWrap w:val="0"/>
            <w:vAlign w:val="top"/>
          </w:tcPr>
          <w:p w14:paraId="5037FD7D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200" w:type="dxa"/>
            <w:noWrap w:val="0"/>
            <w:vAlign w:val="top"/>
          </w:tcPr>
          <w:p w14:paraId="343DD75A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260" w:type="dxa"/>
            <w:noWrap w:val="0"/>
            <w:vAlign w:val="top"/>
          </w:tcPr>
          <w:p w14:paraId="4149019D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230" w:type="dxa"/>
            <w:noWrap w:val="0"/>
            <w:vAlign w:val="top"/>
          </w:tcPr>
          <w:p w14:paraId="7AD36142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765" w:type="dxa"/>
            <w:noWrap w:val="0"/>
            <w:vAlign w:val="top"/>
          </w:tcPr>
          <w:p w14:paraId="56314F2C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 w14:paraId="407B7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9" w:type="dxa"/>
            <w:noWrap w:val="0"/>
            <w:vAlign w:val="top"/>
          </w:tcPr>
          <w:p w14:paraId="5483B7B1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1221" w:type="dxa"/>
            <w:noWrap w:val="0"/>
            <w:vAlign w:val="top"/>
          </w:tcPr>
          <w:p w14:paraId="547E3AF2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230" w:type="dxa"/>
            <w:noWrap w:val="0"/>
            <w:vAlign w:val="top"/>
          </w:tcPr>
          <w:p w14:paraId="0E2D78F5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275" w:type="dxa"/>
            <w:noWrap w:val="0"/>
            <w:vAlign w:val="top"/>
          </w:tcPr>
          <w:p w14:paraId="23560264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760" w:type="dxa"/>
            <w:noWrap w:val="0"/>
            <w:vAlign w:val="top"/>
          </w:tcPr>
          <w:p w14:paraId="7529C9D4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275" w:type="dxa"/>
            <w:noWrap w:val="0"/>
            <w:vAlign w:val="top"/>
          </w:tcPr>
          <w:p w14:paraId="661013BC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560" w:type="dxa"/>
            <w:noWrap w:val="0"/>
            <w:vAlign w:val="top"/>
          </w:tcPr>
          <w:p w14:paraId="293955CF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200" w:type="dxa"/>
            <w:noWrap w:val="0"/>
            <w:vAlign w:val="top"/>
          </w:tcPr>
          <w:p w14:paraId="792C7915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260" w:type="dxa"/>
            <w:noWrap w:val="0"/>
            <w:vAlign w:val="top"/>
          </w:tcPr>
          <w:p w14:paraId="4C8E4858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230" w:type="dxa"/>
            <w:noWrap w:val="0"/>
            <w:vAlign w:val="top"/>
          </w:tcPr>
          <w:p w14:paraId="36803254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765" w:type="dxa"/>
            <w:noWrap w:val="0"/>
            <w:vAlign w:val="top"/>
          </w:tcPr>
          <w:p w14:paraId="596FE3D9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 w14:paraId="1FA5E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9" w:type="dxa"/>
            <w:noWrap w:val="0"/>
            <w:vAlign w:val="top"/>
          </w:tcPr>
          <w:p w14:paraId="5A796176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1221" w:type="dxa"/>
            <w:noWrap w:val="0"/>
            <w:vAlign w:val="top"/>
          </w:tcPr>
          <w:p w14:paraId="1A41FD92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230" w:type="dxa"/>
            <w:noWrap w:val="0"/>
            <w:vAlign w:val="top"/>
          </w:tcPr>
          <w:p w14:paraId="3CE3C44B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275" w:type="dxa"/>
            <w:noWrap w:val="0"/>
            <w:vAlign w:val="top"/>
          </w:tcPr>
          <w:p w14:paraId="0E343ECA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760" w:type="dxa"/>
            <w:noWrap w:val="0"/>
            <w:vAlign w:val="top"/>
          </w:tcPr>
          <w:p w14:paraId="40D875CC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275" w:type="dxa"/>
            <w:noWrap w:val="0"/>
            <w:vAlign w:val="top"/>
          </w:tcPr>
          <w:p w14:paraId="2AE26E8E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560" w:type="dxa"/>
            <w:noWrap w:val="0"/>
            <w:vAlign w:val="top"/>
          </w:tcPr>
          <w:p w14:paraId="45EF0D1F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200" w:type="dxa"/>
            <w:noWrap w:val="0"/>
            <w:vAlign w:val="top"/>
          </w:tcPr>
          <w:p w14:paraId="56F43823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260" w:type="dxa"/>
            <w:noWrap w:val="0"/>
            <w:vAlign w:val="top"/>
          </w:tcPr>
          <w:p w14:paraId="37B97843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230" w:type="dxa"/>
            <w:noWrap w:val="0"/>
            <w:vAlign w:val="top"/>
          </w:tcPr>
          <w:p w14:paraId="1F2CF7AB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765" w:type="dxa"/>
            <w:noWrap w:val="0"/>
            <w:vAlign w:val="top"/>
          </w:tcPr>
          <w:p w14:paraId="7C67090E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</w:tbl>
    <w:p w14:paraId="7E6BBAB0">
      <w:pP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  <w:t>说明：河南省属地厅级社科研究项目类别较多，评定单位必须为河南省属地厅级单位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。</w:t>
      </w:r>
    </w:p>
    <w:p w14:paraId="5E214097"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5ZDUxZmJhODcxYzdlMWE0MGFmMTA2OWMwNzI3ZGUifQ=="/>
  </w:docVars>
  <w:rsids>
    <w:rsidRoot w:val="67035D3A"/>
    <w:rsid w:val="67035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2024-07-11T13:18:00Z</dcterms:created>
  <dc:creator>郑如云</dc:creator>
  <cp:lastModifiedBy>郑如云</cp:lastModifiedBy>
  <dcterms:modified xsi:type="dcterms:W3CDTF">2024-07-11T13:18:52Z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A9F2D025ABD449B7AF625AA01A13D5C2_11</vt:lpwstr>
  </property>
</Properties>
</file>