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2C20B">
      <w:pPr>
        <w:spacing w:before="101" w:line="230" w:lineRule="auto"/>
        <w:ind w:left="2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291C2A0E">
      <w:pPr>
        <w:spacing w:line="413" w:lineRule="auto"/>
        <w:rPr>
          <w:rFonts w:ascii="Arial"/>
          <w:sz w:val="21"/>
        </w:rPr>
      </w:pPr>
    </w:p>
    <w:p w14:paraId="2C561C04">
      <w:pPr>
        <w:spacing w:before="167" w:line="209" w:lineRule="auto"/>
        <w:ind w:left="4242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高校孵化企业情况汇总表</w:t>
      </w:r>
    </w:p>
    <w:p w14:paraId="2AAAFD5D">
      <w:pPr>
        <w:spacing w:before="311" w:line="215" w:lineRule="auto"/>
        <w:ind w:left="113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1"/>
          <w:sz w:val="28"/>
          <w:szCs w:val="28"/>
        </w:rPr>
        <w:t>报送单位（公章</w:t>
      </w:r>
      <w:r>
        <w:rPr>
          <w:rFonts w:ascii="KaiTi_GB2312" w:hAnsi="KaiTi_GB2312" w:eastAsia="KaiTi_GB2312" w:cs="KaiTi_GB2312"/>
          <w:spacing w:val="-67"/>
          <w:sz w:val="28"/>
          <w:szCs w:val="28"/>
        </w:rPr>
        <w:t>）：</w:t>
      </w:r>
      <w:r>
        <w:rPr>
          <w:rFonts w:ascii="KaiTi_GB2312" w:hAnsi="KaiTi_GB2312" w:eastAsia="KaiTi_GB2312" w:cs="KaiTi_GB2312"/>
          <w:sz w:val="28"/>
          <w:szCs w:val="28"/>
        </w:rPr>
        <w:t xml:space="preserve">                             </w:t>
      </w:r>
      <w:r>
        <w:rPr>
          <w:rFonts w:ascii="KaiTi_GB2312" w:hAnsi="KaiTi_GB2312" w:eastAsia="KaiTi_GB2312" w:cs="KaiTi_GB2312"/>
          <w:spacing w:val="-1"/>
          <w:sz w:val="28"/>
          <w:szCs w:val="28"/>
        </w:rPr>
        <w:t>单位联系人/电话：</w:t>
      </w:r>
    </w:p>
    <w:p w14:paraId="062ACFC9">
      <w:pPr>
        <w:spacing w:line="107" w:lineRule="exact"/>
      </w:pPr>
    </w:p>
    <w:tbl>
      <w:tblPr>
        <w:tblStyle w:val="5"/>
        <w:tblW w:w="133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1150"/>
        <w:gridCol w:w="793"/>
        <w:gridCol w:w="934"/>
        <w:gridCol w:w="908"/>
        <w:gridCol w:w="1050"/>
        <w:gridCol w:w="1167"/>
        <w:gridCol w:w="1413"/>
        <w:gridCol w:w="1524"/>
        <w:gridCol w:w="935"/>
        <w:gridCol w:w="1076"/>
        <w:gridCol w:w="1071"/>
        <w:gridCol w:w="860"/>
      </w:tblGrid>
      <w:tr w14:paraId="4DC658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31" w:type="dxa"/>
            <w:textDirection w:val="tbRlV"/>
            <w:vAlign w:val="top"/>
          </w:tcPr>
          <w:p w14:paraId="586B6D7E">
            <w:pPr>
              <w:spacing w:before="110" w:line="216" w:lineRule="auto"/>
              <w:ind w:left="3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号</w:t>
            </w:r>
          </w:p>
        </w:tc>
        <w:tc>
          <w:tcPr>
            <w:tcW w:w="1150" w:type="dxa"/>
            <w:vAlign w:val="top"/>
          </w:tcPr>
          <w:p w14:paraId="228D3E85">
            <w:pPr>
              <w:spacing w:before="171" w:line="231" w:lineRule="auto"/>
              <w:ind w:left="3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高校</w:t>
            </w:r>
          </w:p>
        </w:tc>
        <w:tc>
          <w:tcPr>
            <w:tcW w:w="793" w:type="dxa"/>
            <w:vAlign w:val="top"/>
          </w:tcPr>
          <w:p w14:paraId="0A7A8057">
            <w:pPr>
              <w:spacing w:before="37" w:line="234" w:lineRule="auto"/>
              <w:ind w:left="194" w:right="133" w:hanging="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院系/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部门</w:t>
            </w:r>
          </w:p>
        </w:tc>
        <w:tc>
          <w:tcPr>
            <w:tcW w:w="934" w:type="dxa"/>
            <w:vAlign w:val="top"/>
          </w:tcPr>
          <w:p w14:paraId="1E08E65B">
            <w:pPr>
              <w:spacing w:before="37" w:line="234" w:lineRule="auto"/>
              <w:ind w:left="262" w:right="257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企业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名称</w:t>
            </w:r>
          </w:p>
        </w:tc>
        <w:tc>
          <w:tcPr>
            <w:tcW w:w="908" w:type="dxa"/>
            <w:vAlign w:val="top"/>
          </w:tcPr>
          <w:p w14:paraId="6BB792CD">
            <w:pPr>
              <w:spacing w:before="37" w:line="234" w:lineRule="auto"/>
              <w:ind w:left="253" w:right="137" w:hanging="1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校方负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责人</w:t>
            </w:r>
          </w:p>
        </w:tc>
        <w:tc>
          <w:tcPr>
            <w:tcW w:w="1050" w:type="dxa"/>
            <w:vAlign w:val="top"/>
          </w:tcPr>
          <w:p w14:paraId="3EA3CB35">
            <w:pPr>
              <w:spacing w:before="37" w:line="234" w:lineRule="auto"/>
              <w:ind w:left="323" w:right="208" w:hanging="1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法定代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表人</w:t>
            </w:r>
          </w:p>
        </w:tc>
        <w:tc>
          <w:tcPr>
            <w:tcW w:w="1167" w:type="dxa"/>
            <w:vAlign w:val="top"/>
          </w:tcPr>
          <w:p w14:paraId="2F1AD153">
            <w:pPr>
              <w:spacing w:before="171" w:line="231" w:lineRule="auto"/>
              <w:ind w:left="1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成立时间</w:t>
            </w:r>
          </w:p>
        </w:tc>
        <w:tc>
          <w:tcPr>
            <w:tcW w:w="1413" w:type="dxa"/>
            <w:vAlign w:val="top"/>
          </w:tcPr>
          <w:p w14:paraId="6A5500A1">
            <w:pPr>
              <w:spacing w:before="171" w:line="230" w:lineRule="auto"/>
              <w:ind w:left="2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行业领域</w:t>
            </w:r>
          </w:p>
        </w:tc>
        <w:tc>
          <w:tcPr>
            <w:tcW w:w="1524" w:type="dxa"/>
            <w:vAlign w:val="top"/>
          </w:tcPr>
          <w:p w14:paraId="4A7252E2">
            <w:pPr>
              <w:spacing w:before="37" w:line="234" w:lineRule="auto"/>
              <w:ind w:left="141" w:right="129" w:firstLine="5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涉及</w:t>
            </w:r>
            <w:r>
              <w:rPr>
                <w:rFonts w:ascii="黑体" w:hAnsi="黑体" w:eastAsia="黑体" w:cs="黑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28</w:t>
            </w:r>
            <w:r>
              <w:rPr>
                <w:rFonts w:ascii="黑体" w:hAnsi="黑体" w:eastAsia="黑体" w:cs="黑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个重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点产业链情况</w:t>
            </w:r>
          </w:p>
        </w:tc>
        <w:tc>
          <w:tcPr>
            <w:tcW w:w="935" w:type="dxa"/>
            <w:vAlign w:val="top"/>
          </w:tcPr>
          <w:p w14:paraId="100E9B12">
            <w:pPr>
              <w:spacing w:before="37" w:line="234" w:lineRule="auto"/>
              <w:ind w:left="155" w:right="15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组织机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构代码</w:t>
            </w:r>
          </w:p>
        </w:tc>
        <w:tc>
          <w:tcPr>
            <w:tcW w:w="1076" w:type="dxa"/>
            <w:vAlign w:val="top"/>
          </w:tcPr>
          <w:p w14:paraId="0A030184">
            <w:pPr>
              <w:spacing w:before="171" w:line="229" w:lineRule="auto"/>
              <w:ind w:left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孵化类型</w:t>
            </w:r>
          </w:p>
        </w:tc>
        <w:tc>
          <w:tcPr>
            <w:tcW w:w="1071" w:type="dxa"/>
            <w:vAlign w:val="top"/>
          </w:tcPr>
          <w:p w14:paraId="251DDC9C">
            <w:pPr>
              <w:spacing w:before="171" w:line="230" w:lineRule="auto"/>
              <w:ind w:left="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860" w:type="dxa"/>
            <w:vAlign w:val="top"/>
          </w:tcPr>
          <w:p w14:paraId="55FE1FA6">
            <w:pPr>
              <w:spacing w:before="171" w:line="230" w:lineRule="auto"/>
              <w:ind w:left="2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 w14:paraId="13835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31" w:type="dxa"/>
            <w:vAlign w:val="top"/>
          </w:tcPr>
          <w:p w14:paraId="4FBDA9A7">
            <w:pPr>
              <w:pStyle w:val="6"/>
            </w:pPr>
          </w:p>
        </w:tc>
        <w:tc>
          <w:tcPr>
            <w:tcW w:w="1150" w:type="dxa"/>
            <w:vAlign w:val="top"/>
          </w:tcPr>
          <w:p w14:paraId="627761FD">
            <w:pPr>
              <w:pStyle w:val="6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</w:p>
        </w:tc>
        <w:tc>
          <w:tcPr>
            <w:tcW w:w="793" w:type="dxa"/>
            <w:vAlign w:val="top"/>
          </w:tcPr>
          <w:p w14:paraId="0033BBB7">
            <w:pPr>
              <w:pStyle w:val="6"/>
            </w:pPr>
          </w:p>
        </w:tc>
        <w:tc>
          <w:tcPr>
            <w:tcW w:w="934" w:type="dxa"/>
            <w:vAlign w:val="top"/>
          </w:tcPr>
          <w:p w14:paraId="6672129B">
            <w:pPr>
              <w:pStyle w:val="6"/>
            </w:pPr>
          </w:p>
        </w:tc>
        <w:tc>
          <w:tcPr>
            <w:tcW w:w="908" w:type="dxa"/>
            <w:vAlign w:val="top"/>
          </w:tcPr>
          <w:p w14:paraId="28520220">
            <w:pPr>
              <w:pStyle w:val="6"/>
            </w:pPr>
          </w:p>
        </w:tc>
        <w:tc>
          <w:tcPr>
            <w:tcW w:w="1050" w:type="dxa"/>
            <w:vAlign w:val="top"/>
          </w:tcPr>
          <w:p w14:paraId="03BB0BBA">
            <w:pPr>
              <w:pStyle w:val="6"/>
            </w:pPr>
          </w:p>
        </w:tc>
        <w:tc>
          <w:tcPr>
            <w:tcW w:w="1167" w:type="dxa"/>
            <w:vAlign w:val="top"/>
          </w:tcPr>
          <w:p w14:paraId="1FB4C4FC">
            <w:pPr>
              <w:pStyle w:val="6"/>
            </w:pPr>
          </w:p>
        </w:tc>
        <w:tc>
          <w:tcPr>
            <w:tcW w:w="1413" w:type="dxa"/>
            <w:vAlign w:val="top"/>
          </w:tcPr>
          <w:p w14:paraId="3812A212">
            <w:pPr>
              <w:pStyle w:val="6"/>
            </w:pPr>
          </w:p>
        </w:tc>
        <w:tc>
          <w:tcPr>
            <w:tcW w:w="1524" w:type="dxa"/>
            <w:vAlign w:val="top"/>
          </w:tcPr>
          <w:p w14:paraId="39E549A1">
            <w:pPr>
              <w:pStyle w:val="6"/>
            </w:pPr>
          </w:p>
        </w:tc>
        <w:tc>
          <w:tcPr>
            <w:tcW w:w="935" w:type="dxa"/>
            <w:vAlign w:val="top"/>
          </w:tcPr>
          <w:p w14:paraId="3505E0C5">
            <w:pPr>
              <w:pStyle w:val="6"/>
            </w:pPr>
          </w:p>
        </w:tc>
        <w:tc>
          <w:tcPr>
            <w:tcW w:w="1076" w:type="dxa"/>
            <w:vAlign w:val="top"/>
          </w:tcPr>
          <w:p w14:paraId="5A5358EB">
            <w:pPr>
              <w:pStyle w:val="6"/>
            </w:pPr>
          </w:p>
        </w:tc>
        <w:tc>
          <w:tcPr>
            <w:tcW w:w="1071" w:type="dxa"/>
            <w:vAlign w:val="top"/>
          </w:tcPr>
          <w:p w14:paraId="2599B5C1">
            <w:pPr>
              <w:pStyle w:val="6"/>
            </w:pPr>
          </w:p>
        </w:tc>
        <w:tc>
          <w:tcPr>
            <w:tcW w:w="860" w:type="dxa"/>
            <w:vAlign w:val="top"/>
          </w:tcPr>
          <w:p w14:paraId="36D50297">
            <w:pPr>
              <w:pStyle w:val="6"/>
            </w:pPr>
          </w:p>
        </w:tc>
      </w:tr>
      <w:tr w14:paraId="1E018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31" w:type="dxa"/>
            <w:vAlign w:val="top"/>
          </w:tcPr>
          <w:p w14:paraId="15E64E23">
            <w:pPr>
              <w:pStyle w:val="6"/>
            </w:pPr>
          </w:p>
        </w:tc>
        <w:tc>
          <w:tcPr>
            <w:tcW w:w="1150" w:type="dxa"/>
            <w:vAlign w:val="top"/>
          </w:tcPr>
          <w:p w14:paraId="58B12B4F">
            <w:pPr>
              <w:pStyle w:val="6"/>
            </w:pPr>
          </w:p>
        </w:tc>
        <w:tc>
          <w:tcPr>
            <w:tcW w:w="793" w:type="dxa"/>
            <w:vAlign w:val="top"/>
          </w:tcPr>
          <w:p w14:paraId="07448C3F">
            <w:pPr>
              <w:pStyle w:val="6"/>
            </w:pPr>
          </w:p>
        </w:tc>
        <w:tc>
          <w:tcPr>
            <w:tcW w:w="934" w:type="dxa"/>
            <w:vAlign w:val="top"/>
          </w:tcPr>
          <w:p w14:paraId="1CB162A7">
            <w:pPr>
              <w:pStyle w:val="6"/>
            </w:pPr>
          </w:p>
        </w:tc>
        <w:tc>
          <w:tcPr>
            <w:tcW w:w="908" w:type="dxa"/>
            <w:vAlign w:val="top"/>
          </w:tcPr>
          <w:p w14:paraId="635AA2DE">
            <w:pPr>
              <w:pStyle w:val="6"/>
            </w:pPr>
          </w:p>
        </w:tc>
        <w:tc>
          <w:tcPr>
            <w:tcW w:w="1050" w:type="dxa"/>
            <w:vAlign w:val="top"/>
          </w:tcPr>
          <w:p w14:paraId="1738F5CA">
            <w:pPr>
              <w:pStyle w:val="6"/>
            </w:pPr>
          </w:p>
        </w:tc>
        <w:tc>
          <w:tcPr>
            <w:tcW w:w="1167" w:type="dxa"/>
            <w:vAlign w:val="top"/>
          </w:tcPr>
          <w:p w14:paraId="51018F7A">
            <w:pPr>
              <w:pStyle w:val="6"/>
            </w:pPr>
          </w:p>
        </w:tc>
        <w:tc>
          <w:tcPr>
            <w:tcW w:w="1413" w:type="dxa"/>
            <w:vAlign w:val="top"/>
          </w:tcPr>
          <w:p w14:paraId="4C0E4F97">
            <w:pPr>
              <w:pStyle w:val="6"/>
            </w:pPr>
          </w:p>
        </w:tc>
        <w:tc>
          <w:tcPr>
            <w:tcW w:w="1524" w:type="dxa"/>
            <w:vAlign w:val="top"/>
          </w:tcPr>
          <w:p w14:paraId="41519EAF">
            <w:pPr>
              <w:pStyle w:val="6"/>
            </w:pPr>
          </w:p>
        </w:tc>
        <w:tc>
          <w:tcPr>
            <w:tcW w:w="935" w:type="dxa"/>
            <w:vAlign w:val="top"/>
          </w:tcPr>
          <w:p w14:paraId="2193ABF1">
            <w:pPr>
              <w:pStyle w:val="6"/>
            </w:pPr>
          </w:p>
        </w:tc>
        <w:tc>
          <w:tcPr>
            <w:tcW w:w="1076" w:type="dxa"/>
            <w:vAlign w:val="top"/>
          </w:tcPr>
          <w:p w14:paraId="3A06B5C4">
            <w:pPr>
              <w:pStyle w:val="6"/>
            </w:pPr>
          </w:p>
        </w:tc>
        <w:tc>
          <w:tcPr>
            <w:tcW w:w="1071" w:type="dxa"/>
            <w:vAlign w:val="top"/>
          </w:tcPr>
          <w:p w14:paraId="7A09A605">
            <w:pPr>
              <w:pStyle w:val="6"/>
            </w:pPr>
          </w:p>
        </w:tc>
        <w:tc>
          <w:tcPr>
            <w:tcW w:w="860" w:type="dxa"/>
            <w:vAlign w:val="top"/>
          </w:tcPr>
          <w:p w14:paraId="2B990E9A">
            <w:pPr>
              <w:pStyle w:val="6"/>
            </w:pPr>
          </w:p>
        </w:tc>
      </w:tr>
      <w:tr w14:paraId="7D4FB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31" w:type="dxa"/>
            <w:vAlign w:val="top"/>
          </w:tcPr>
          <w:p w14:paraId="7E0749E6">
            <w:pPr>
              <w:pStyle w:val="6"/>
            </w:pPr>
          </w:p>
        </w:tc>
        <w:tc>
          <w:tcPr>
            <w:tcW w:w="1150" w:type="dxa"/>
            <w:vAlign w:val="top"/>
          </w:tcPr>
          <w:p w14:paraId="7BF75802">
            <w:pPr>
              <w:pStyle w:val="6"/>
            </w:pPr>
          </w:p>
        </w:tc>
        <w:tc>
          <w:tcPr>
            <w:tcW w:w="793" w:type="dxa"/>
            <w:vAlign w:val="top"/>
          </w:tcPr>
          <w:p w14:paraId="37D0C751">
            <w:pPr>
              <w:pStyle w:val="6"/>
            </w:pPr>
          </w:p>
        </w:tc>
        <w:tc>
          <w:tcPr>
            <w:tcW w:w="934" w:type="dxa"/>
            <w:vAlign w:val="top"/>
          </w:tcPr>
          <w:p w14:paraId="2DE948EB">
            <w:pPr>
              <w:pStyle w:val="6"/>
            </w:pPr>
          </w:p>
        </w:tc>
        <w:tc>
          <w:tcPr>
            <w:tcW w:w="908" w:type="dxa"/>
            <w:vAlign w:val="top"/>
          </w:tcPr>
          <w:p w14:paraId="5505A146">
            <w:pPr>
              <w:pStyle w:val="6"/>
            </w:pPr>
          </w:p>
        </w:tc>
        <w:tc>
          <w:tcPr>
            <w:tcW w:w="1050" w:type="dxa"/>
            <w:vAlign w:val="top"/>
          </w:tcPr>
          <w:p w14:paraId="5D6AA069">
            <w:pPr>
              <w:pStyle w:val="6"/>
            </w:pPr>
          </w:p>
        </w:tc>
        <w:tc>
          <w:tcPr>
            <w:tcW w:w="1167" w:type="dxa"/>
            <w:vAlign w:val="top"/>
          </w:tcPr>
          <w:p w14:paraId="2AEED1D3">
            <w:pPr>
              <w:pStyle w:val="6"/>
            </w:pPr>
          </w:p>
        </w:tc>
        <w:tc>
          <w:tcPr>
            <w:tcW w:w="1413" w:type="dxa"/>
            <w:vAlign w:val="top"/>
          </w:tcPr>
          <w:p w14:paraId="60763296">
            <w:pPr>
              <w:pStyle w:val="6"/>
            </w:pPr>
          </w:p>
        </w:tc>
        <w:tc>
          <w:tcPr>
            <w:tcW w:w="1524" w:type="dxa"/>
            <w:vAlign w:val="top"/>
          </w:tcPr>
          <w:p w14:paraId="10A5BD69">
            <w:pPr>
              <w:pStyle w:val="6"/>
            </w:pPr>
          </w:p>
        </w:tc>
        <w:tc>
          <w:tcPr>
            <w:tcW w:w="935" w:type="dxa"/>
            <w:vAlign w:val="top"/>
          </w:tcPr>
          <w:p w14:paraId="0574B5CA">
            <w:pPr>
              <w:pStyle w:val="6"/>
            </w:pPr>
          </w:p>
        </w:tc>
        <w:tc>
          <w:tcPr>
            <w:tcW w:w="1076" w:type="dxa"/>
            <w:vAlign w:val="top"/>
          </w:tcPr>
          <w:p w14:paraId="7769D441">
            <w:pPr>
              <w:pStyle w:val="6"/>
            </w:pPr>
          </w:p>
        </w:tc>
        <w:tc>
          <w:tcPr>
            <w:tcW w:w="1071" w:type="dxa"/>
            <w:vAlign w:val="top"/>
          </w:tcPr>
          <w:p w14:paraId="0E08377C">
            <w:pPr>
              <w:pStyle w:val="6"/>
            </w:pPr>
          </w:p>
        </w:tc>
        <w:tc>
          <w:tcPr>
            <w:tcW w:w="860" w:type="dxa"/>
            <w:vAlign w:val="top"/>
          </w:tcPr>
          <w:p w14:paraId="23017A17">
            <w:pPr>
              <w:pStyle w:val="6"/>
            </w:pPr>
          </w:p>
        </w:tc>
      </w:tr>
      <w:tr w14:paraId="3E7B62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31" w:type="dxa"/>
            <w:vAlign w:val="top"/>
          </w:tcPr>
          <w:p w14:paraId="56B3B9A9">
            <w:pPr>
              <w:pStyle w:val="6"/>
            </w:pPr>
          </w:p>
        </w:tc>
        <w:tc>
          <w:tcPr>
            <w:tcW w:w="1150" w:type="dxa"/>
            <w:vAlign w:val="top"/>
          </w:tcPr>
          <w:p w14:paraId="6B02B40B">
            <w:pPr>
              <w:pStyle w:val="6"/>
            </w:pPr>
          </w:p>
        </w:tc>
        <w:tc>
          <w:tcPr>
            <w:tcW w:w="793" w:type="dxa"/>
            <w:vAlign w:val="top"/>
          </w:tcPr>
          <w:p w14:paraId="488C0D48">
            <w:pPr>
              <w:pStyle w:val="6"/>
            </w:pPr>
          </w:p>
        </w:tc>
        <w:tc>
          <w:tcPr>
            <w:tcW w:w="934" w:type="dxa"/>
            <w:vAlign w:val="top"/>
          </w:tcPr>
          <w:p w14:paraId="597864C8">
            <w:pPr>
              <w:pStyle w:val="6"/>
            </w:pPr>
          </w:p>
        </w:tc>
        <w:tc>
          <w:tcPr>
            <w:tcW w:w="908" w:type="dxa"/>
            <w:vAlign w:val="top"/>
          </w:tcPr>
          <w:p w14:paraId="3A54514F">
            <w:pPr>
              <w:pStyle w:val="6"/>
            </w:pPr>
          </w:p>
        </w:tc>
        <w:tc>
          <w:tcPr>
            <w:tcW w:w="1050" w:type="dxa"/>
            <w:vAlign w:val="top"/>
          </w:tcPr>
          <w:p w14:paraId="4145E5CD">
            <w:pPr>
              <w:pStyle w:val="6"/>
            </w:pPr>
          </w:p>
        </w:tc>
        <w:tc>
          <w:tcPr>
            <w:tcW w:w="1167" w:type="dxa"/>
            <w:vAlign w:val="top"/>
          </w:tcPr>
          <w:p w14:paraId="0933C1E1">
            <w:pPr>
              <w:pStyle w:val="6"/>
            </w:pPr>
          </w:p>
        </w:tc>
        <w:tc>
          <w:tcPr>
            <w:tcW w:w="1413" w:type="dxa"/>
            <w:vAlign w:val="top"/>
          </w:tcPr>
          <w:p w14:paraId="5FBA4057">
            <w:pPr>
              <w:pStyle w:val="6"/>
            </w:pPr>
          </w:p>
        </w:tc>
        <w:tc>
          <w:tcPr>
            <w:tcW w:w="1524" w:type="dxa"/>
            <w:vAlign w:val="top"/>
          </w:tcPr>
          <w:p w14:paraId="0B3DEFE2">
            <w:pPr>
              <w:pStyle w:val="6"/>
            </w:pPr>
          </w:p>
        </w:tc>
        <w:tc>
          <w:tcPr>
            <w:tcW w:w="935" w:type="dxa"/>
            <w:vAlign w:val="top"/>
          </w:tcPr>
          <w:p w14:paraId="12D741E4">
            <w:pPr>
              <w:pStyle w:val="6"/>
            </w:pPr>
          </w:p>
        </w:tc>
        <w:tc>
          <w:tcPr>
            <w:tcW w:w="1076" w:type="dxa"/>
            <w:vAlign w:val="top"/>
          </w:tcPr>
          <w:p w14:paraId="45E9D25B">
            <w:pPr>
              <w:pStyle w:val="6"/>
            </w:pPr>
          </w:p>
        </w:tc>
        <w:tc>
          <w:tcPr>
            <w:tcW w:w="1071" w:type="dxa"/>
            <w:vAlign w:val="top"/>
          </w:tcPr>
          <w:p w14:paraId="670B41AE">
            <w:pPr>
              <w:pStyle w:val="6"/>
            </w:pPr>
          </w:p>
        </w:tc>
        <w:tc>
          <w:tcPr>
            <w:tcW w:w="860" w:type="dxa"/>
            <w:vAlign w:val="top"/>
          </w:tcPr>
          <w:p w14:paraId="2DC4630D">
            <w:pPr>
              <w:pStyle w:val="6"/>
            </w:pPr>
          </w:p>
        </w:tc>
      </w:tr>
    </w:tbl>
    <w:p w14:paraId="62267133">
      <w:pPr>
        <w:spacing w:before="253" w:line="221" w:lineRule="auto"/>
        <w:ind w:left="197"/>
        <w:rPr>
          <w:rFonts w:ascii="KaiTi_GB2312" w:hAnsi="KaiTi_GB2312" w:eastAsia="KaiTi_GB2312" w:cs="KaiTi_GB2312"/>
          <w:sz w:val="20"/>
          <w:szCs w:val="20"/>
        </w:rPr>
      </w:pPr>
      <w:r>
        <w:rPr>
          <w:rFonts w:ascii="KaiTi_GB2312" w:hAnsi="KaiTi_GB2312" w:eastAsia="KaiTi_GB2312" w:cs="KaiTi_GB2312"/>
          <w:spacing w:val="5"/>
          <w:sz w:val="20"/>
          <w:szCs w:val="20"/>
        </w:rPr>
        <w:t>备注：</w:t>
      </w:r>
    </w:p>
    <w:p w14:paraId="06BAF925">
      <w:pPr>
        <w:spacing w:line="221" w:lineRule="auto"/>
        <w:ind w:left="217"/>
        <w:rPr>
          <w:rFonts w:ascii="KaiTi_GB2312" w:hAnsi="KaiTi_GB2312" w:eastAsia="KaiTi_GB2312" w:cs="KaiTi_GB2312"/>
          <w:sz w:val="20"/>
          <w:szCs w:val="20"/>
        </w:rPr>
      </w:pPr>
      <w:r>
        <w:rPr>
          <w:rFonts w:ascii="KaiTi_GB2312" w:hAnsi="KaiTi_GB2312" w:eastAsia="KaiTi_GB2312" w:cs="KaiTi_GB2312"/>
          <w:spacing w:val="9"/>
          <w:sz w:val="20"/>
          <w:szCs w:val="20"/>
        </w:rPr>
        <w:t>1.企业校方负责人：依托孵化企业的成果所有人或创办企业的学校师生。</w:t>
      </w:r>
    </w:p>
    <w:p w14:paraId="1E7700D6">
      <w:pPr>
        <w:spacing w:before="3" w:line="221" w:lineRule="auto"/>
        <w:ind w:left="197" w:right="193" w:firstLine="14"/>
        <w:rPr>
          <w:rFonts w:ascii="KaiTi_GB2312" w:hAnsi="KaiTi_GB2312" w:eastAsia="KaiTi_GB2312" w:cs="KaiTi_GB2312"/>
          <w:sz w:val="20"/>
          <w:szCs w:val="20"/>
        </w:rPr>
      </w:pPr>
      <w:r>
        <w:rPr>
          <w:rFonts w:ascii="KaiTi_GB2312" w:hAnsi="KaiTi_GB2312" w:eastAsia="KaiTi_GB2312" w:cs="KaiTi_GB2312"/>
          <w:spacing w:val="11"/>
          <w:sz w:val="20"/>
          <w:szCs w:val="20"/>
        </w:rPr>
        <w:t>2.行业领域：1-农、林、牧、渔业；2-</w:t>
      </w:r>
      <w:r>
        <w:rPr>
          <w:rFonts w:ascii="KaiTi_GB2312" w:hAnsi="KaiTi_GB2312" w:eastAsia="KaiTi_GB2312" w:cs="KaiTi_GB2312"/>
          <w:spacing w:val="10"/>
          <w:sz w:val="20"/>
          <w:szCs w:val="20"/>
        </w:rPr>
        <w:t>采矿业；3-制造业；4-电力、燃气及水的生产和供应业；5-建筑业；6-交通运输、仓储和邮政业；7-</w:t>
      </w:r>
      <w:r>
        <w:rPr>
          <w:rFonts w:ascii="KaiTi_GB2312" w:hAnsi="KaiTi_GB2312" w:eastAsia="KaiTi_GB2312" w:cs="KaiTi_GB2312"/>
          <w:sz w:val="20"/>
          <w:szCs w:val="20"/>
        </w:rPr>
        <w:t xml:space="preserve"> </w:t>
      </w:r>
      <w:r>
        <w:rPr>
          <w:rFonts w:ascii="KaiTi_GB2312" w:hAnsi="KaiTi_GB2312" w:eastAsia="KaiTi_GB2312" w:cs="KaiTi_GB2312"/>
          <w:spacing w:val="11"/>
          <w:sz w:val="20"/>
          <w:szCs w:val="20"/>
        </w:rPr>
        <w:t>信息传输、计算机服务和软件业；8-批发和零售业；9-住宿和餐饮业；10</w:t>
      </w:r>
      <w:r>
        <w:rPr>
          <w:rFonts w:ascii="KaiTi_GB2312" w:hAnsi="KaiTi_GB2312" w:eastAsia="KaiTi_GB2312" w:cs="KaiTi_GB2312"/>
          <w:spacing w:val="10"/>
          <w:sz w:val="20"/>
          <w:szCs w:val="20"/>
        </w:rPr>
        <w:t>-金融业；11-房地产业；12-租赁和商务服务业；13-科学研究、技</w:t>
      </w:r>
      <w:r>
        <w:rPr>
          <w:rFonts w:ascii="KaiTi_GB2312" w:hAnsi="KaiTi_GB2312" w:eastAsia="KaiTi_GB2312" w:cs="KaiTi_GB2312"/>
          <w:sz w:val="20"/>
          <w:szCs w:val="20"/>
        </w:rPr>
        <w:t xml:space="preserve"> </w:t>
      </w:r>
      <w:r>
        <w:rPr>
          <w:rFonts w:ascii="KaiTi_GB2312" w:hAnsi="KaiTi_GB2312" w:eastAsia="KaiTi_GB2312" w:cs="KaiTi_GB2312"/>
          <w:spacing w:val="12"/>
          <w:sz w:val="20"/>
          <w:szCs w:val="20"/>
        </w:rPr>
        <w:t>术服务和地质勘查业；14-水利、环境和公共设施管理业；15-居民</w:t>
      </w:r>
      <w:r>
        <w:rPr>
          <w:rFonts w:ascii="KaiTi_GB2312" w:hAnsi="KaiTi_GB2312" w:eastAsia="KaiTi_GB2312" w:cs="KaiTi_GB2312"/>
          <w:spacing w:val="11"/>
          <w:sz w:val="20"/>
          <w:szCs w:val="20"/>
        </w:rPr>
        <w:t>服务和其他服务业；16-教育；</w:t>
      </w:r>
      <w:r>
        <w:rPr>
          <w:rFonts w:ascii="KaiTi_GB2312" w:hAnsi="KaiTi_GB2312" w:eastAsia="KaiTi_GB2312" w:cs="KaiTi_GB2312"/>
          <w:spacing w:val="-59"/>
          <w:sz w:val="20"/>
          <w:szCs w:val="20"/>
        </w:rPr>
        <w:t xml:space="preserve"> </w:t>
      </w:r>
      <w:r>
        <w:rPr>
          <w:rFonts w:ascii="KaiTi_GB2312" w:hAnsi="KaiTi_GB2312" w:eastAsia="KaiTi_GB2312" w:cs="KaiTi_GB2312"/>
          <w:spacing w:val="11"/>
          <w:sz w:val="20"/>
          <w:szCs w:val="20"/>
        </w:rPr>
        <w:t>17-卫生、社会保障和社会福利业；18-文</w:t>
      </w:r>
      <w:r>
        <w:rPr>
          <w:rFonts w:ascii="KaiTi_GB2312" w:hAnsi="KaiTi_GB2312" w:eastAsia="KaiTi_GB2312" w:cs="KaiTi_GB2312"/>
          <w:sz w:val="20"/>
          <w:szCs w:val="20"/>
        </w:rPr>
        <w:t xml:space="preserve"> </w:t>
      </w:r>
      <w:r>
        <w:rPr>
          <w:rFonts w:ascii="KaiTi_GB2312" w:hAnsi="KaiTi_GB2312" w:eastAsia="KaiTi_GB2312" w:cs="KaiTi_GB2312"/>
          <w:spacing w:val="8"/>
          <w:sz w:val="20"/>
          <w:szCs w:val="20"/>
        </w:rPr>
        <w:t>化、体育和娱乐业等。</w:t>
      </w:r>
    </w:p>
    <w:p w14:paraId="01A451B7">
      <w:pPr>
        <w:spacing w:line="221" w:lineRule="auto"/>
        <w:ind w:left="220"/>
        <w:rPr>
          <w:rFonts w:ascii="KaiTi_GB2312" w:hAnsi="KaiTi_GB2312" w:eastAsia="KaiTi_GB2312" w:cs="KaiTi_GB2312"/>
          <w:sz w:val="20"/>
          <w:szCs w:val="20"/>
        </w:rPr>
      </w:pPr>
      <w:r>
        <w:rPr>
          <w:rFonts w:ascii="KaiTi_GB2312" w:hAnsi="KaiTi_GB2312" w:eastAsia="KaiTi_GB2312" w:cs="KaiTi_GB2312"/>
          <w:spacing w:val="10"/>
          <w:sz w:val="20"/>
          <w:szCs w:val="20"/>
        </w:rPr>
        <w:t>3.涉及</w:t>
      </w:r>
      <w:r>
        <w:rPr>
          <w:rFonts w:ascii="KaiTi_GB2312" w:hAnsi="KaiTi_GB2312" w:eastAsia="KaiTi_GB2312" w:cs="KaiTi_GB2312"/>
          <w:spacing w:val="-22"/>
          <w:sz w:val="20"/>
          <w:szCs w:val="20"/>
        </w:rPr>
        <w:t xml:space="preserve"> </w:t>
      </w:r>
      <w:r>
        <w:rPr>
          <w:rFonts w:ascii="KaiTi_GB2312" w:hAnsi="KaiTi_GB2312" w:eastAsia="KaiTi_GB2312" w:cs="KaiTi_GB2312"/>
          <w:spacing w:val="10"/>
          <w:sz w:val="20"/>
          <w:szCs w:val="20"/>
        </w:rPr>
        <w:t>28</w:t>
      </w:r>
      <w:r>
        <w:rPr>
          <w:rFonts w:ascii="KaiTi_GB2312" w:hAnsi="KaiTi_GB2312" w:eastAsia="KaiTi_GB2312" w:cs="KaiTi_GB2312"/>
          <w:spacing w:val="-35"/>
          <w:sz w:val="20"/>
          <w:szCs w:val="20"/>
        </w:rPr>
        <w:t xml:space="preserve"> </w:t>
      </w:r>
      <w:r>
        <w:rPr>
          <w:rFonts w:ascii="KaiTi_GB2312" w:hAnsi="KaiTi_GB2312" w:eastAsia="KaiTi_GB2312" w:cs="KaiTi_GB2312"/>
          <w:spacing w:val="10"/>
          <w:sz w:val="20"/>
          <w:szCs w:val="20"/>
        </w:rPr>
        <w:t>个重点产业链情况：填写企业涉及的产业链名称，若不涉及</w:t>
      </w:r>
      <w:r>
        <w:rPr>
          <w:rFonts w:ascii="KaiTi_GB2312" w:hAnsi="KaiTi_GB2312" w:eastAsia="KaiTi_GB2312" w:cs="KaiTi_GB2312"/>
          <w:spacing w:val="-34"/>
          <w:sz w:val="20"/>
          <w:szCs w:val="20"/>
        </w:rPr>
        <w:t xml:space="preserve"> </w:t>
      </w:r>
      <w:r>
        <w:rPr>
          <w:rFonts w:ascii="KaiTi_GB2312" w:hAnsi="KaiTi_GB2312" w:eastAsia="KaiTi_GB2312" w:cs="KaiTi_GB2312"/>
          <w:spacing w:val="10"/>
          <w:sz w:val="20"/>
          <w:szCs w:val="20"/>
        </w:rPr>
        <w:t>28</w:t>
      </w:r>
      <w:r>
        <w:rPr>
          <w:rFonts w:ascii="KaiTi_GB2312" w:hAnsi="KaiTi_GB2312" w:eastAsia="KaiTi_GB2312" w:cs="KaiTi_GB2312"/>
          <w:spacing w:val="-42"/>
          <w:sz w:val="20"/>
          <w:szCs w:val="20"/>
        </w:rPr>
        <w:t xml:space="preserve"> </w:t>
      </w:r>
      <w:r>
        <w:rPr>
          <w:rFonts w:ascii="KaiTi_GB2312" w:hAnsi="KaiTi_GB2312" w:eastAsia="KaiTi_GB2312" w:cs="KaiTi_GB2312"/>
          <w:spacing w:val="10"/>
          <w:sz w:val="20"/>
          <w:szCs w:val="20"/>
        </w:rPr>
        <w:t>各产业链填“无”</w:t>
      </w:r>
    </w:p>
    <w:p w14:paraId="416D9043">
      <w:pPr>
        <w:spacing w:before="2" w:line="221" w:lineRule="auto"/>
        <w:ind w:left="209" w:right="183" w:firstLine="2"/>
        <w:rPr>
          <w:rFonts w:ascii="KaiTi_GB2312" w:hAnsi="KaiTi_GB2312" w:eastAsia="KaiTi_GB2312" w:cs="KaiTi_GB2312"/>
          <w:sz w:val="20"/>
          <w:szCs w:val="20"/>
        </w:rPr>
      </w:pPr>
      <w:r>
        <w:rPr>
          <w:rFonts w:ascii="KaiTi_GB2312" w:hAnsi="KaiTi_GB2312" w:eastAsia="KaiTi_GB2312" w:cs="KaiTi_GB2312"/>
          <w:spacing w:val="10"/>
          <w:sz w:val="20"/>
          <w:szCs w:val="20"/>
        </w:rPr>
        <w:t>4. 孵化类型：1-依托大学科技园、大学生创业园、科技企业孵化器、众创空间、双创实践基地、</w:t>
      </w:r>
      <w:r>
        <w:rPr>
          <w:rFonts w:ascii="KaiTi_GB2312" w:hAnsi="KaiTi_GB2312" w:eastAsia="KaiTi_GB2312" w:cs="KaiTi_GB2312"/>
          <w:spacing w:val="9"/>
          <w:sz w:val="20"/>
          <w:szCs w:val="20"/>
        </w:rPr>
        <w:t>创业孵化基地等高校创新创业平台孵化的企</w:t>
      </w:r>
      <w:r>
        <w:rPr>
          <w:rFonts w:ascii="KaiTi_GB2312" w:hAnsi="KaiTi_GB2312" w:eastAsia="KaiTi_GB2312" w:cs="KaiTi_GB2312"/>
          <w:sz w:val="20"/>
          <w:szCs w:val="20"/>
        </w:rPr>
        <w:t xml:space="preserve"> </w:t>
      </w:r>
      <w:r>
        <w:rPr>
          <w:rFonts w:ascii="KaiTi_GB2312" w:hAnsi="KaiTi_GB2312" w:eastAsia="KaiTi_GB2312" w:cs="KaiTi_GB2312"/>
          <w:spacing w:val="9"/>
          <w:sz w:val="20"/>
          <w:szCs w:val="20"/>
        </w:rPr>
        <w:t>业；2-依托高校科技创新成果孵化的企业；3-依托各级各类创新创业竞赛成果孵化的企业；4-高校在职教师和在校学生创办的其他企业。</w:t>
      </w:r>
    </w:p>
    <w:p w14:paraId="67B12DCE"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65904">
    <w:pPr>
      <w:pStyle w:val="2"/>
      <w:spacing w:before="1" w:line="183" w:lineRule="auto"/>
      <w:ind w:left="221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13"/>
        <w:sz w:val="29"/>
        <w:szCs w:val="29"/>
      </w:rPr>
      <w:t>6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D4753"/>
    <w:rsid w:val="42AD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2024-12-18T08:58:00Z</dcterms:created>
  <dc:creator>郑如云</dc:creator>
  <cp:lastModifiedBy>郑如云</cp:lastModifiedBy>
  <dcterms:modified xsi:type="dcterms:W3CDTF">2024-12-18T08:59:21Z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BB78FD4CD6F1480D8E3EB45D0F8DF5A3_11</vt:lpwstr>
  </property>
</Properties>
</file>